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40" w:right="240" w:hanging="432"/>
        <w:spacing w:after="0" w:line="262"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-338455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2026</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40" w:right="260" w:hanging="432"/>
        <w:spacing w:after="0" w:line="262"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0" w:type="dxa"/>
        <w:tblCellMar>
          <w:top w:w="0" w:type="dxa"/>
          <w:left w:w="0" w:type="dxa"/>
          <w:bottom w:w="0" w:type="dxa"/>
          <w:right w:w="0" w:type="dxa"/>
        </w:tblCellMar>
      </w:tblPr>
      <w:tr>
        <w:trPr>
          <w:trHeight w:val="214"/>
        </w:trPr>
        <w:tc>
          <w:tcPr>
            <w:tcW w:w="350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jc w:val="right"/>
              <w:ind w:right="221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0"/>
        </w:trPr>
        <w:tc>
          <w:tcPr>
            <w:tcW w:w="3500" w:type="dxa"/>
            <w:vAlign w:val="bottom"/>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tcPr>
          <w:p>
            <w:pPr>
              <w:jc w:val="center"/>
              <w:ind w:right="117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82"/>
        </w:trPr>
        <w:tc>
          <w:tcPr>
            <w:tcW w:w="3500" w:type="dxa"/>
            <w:vAlign w:val="bottom"/>
          </w:tcPr>
          <w:p>
            <w:pPr>
              <w:spacing w:after="0"/>
              <w:rPr>
                <w:sz w:val="24"/>
                <w:szCs w:val="24"/>
                <w:color w:val="auto"/>
              </w:rPr>
            </w:pPr>
          </w:p>
        </w:tc>
        <w:tc>
          <w:tcPr>
            <w:tcW w:w="7620" w:type="dxa"/>
            <w:vAlign w:val="bottom"/>
            <w:gridSpan w:val="7"/>
          </w:tcPr>
          <w:p>
            <w:pPr>
              <w:jc w:val="center"/>
              <w:ind w:right="347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6"/>
                <w:szCs w:val="16"/>
                <w:color w:val="auto"/>
              </w:rPr>
            </w:pPr>
          </w:p>
        </w:tc>
      </w:tr>
      <w:tr>
        <w:trPr>
          <w:trHeight w:val="282"/>
        </w:trPr>
        <w:tc>
          <w:tcPr>
            <w:tcW w:w="3500" w:type="dxa"/>
            <w:vAlign w:val="bottom"/>
          </w:tcPr>
          <w:p>
            <w:pPr>
              <w:spacing w:after="0"/>
              <w:rPr>
                <w:sz w:val="24"/>
                <w:szCs w:val="24"/>
                <w:color w:val="auto"/>
              </w:rPr>
            </w:pPr>
          </w:p>
        </w:tc>
        <w:tc>
          <w:tcPr>
            <w:tcW w:w="314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6"/>
          </w:tcPr>
          <w:p>
            <w:pPr>
              <w:jc w:val="center"/>
              <w:ind w:right="379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77"/>
        </w:trPr>
        <w:tc>
          <w:tcPr>
            <w:tcW w:w="38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318"/>
        </w:trPr>
        <w:tc>
          <w:tcPr>
            <w:tcW w:w="6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80" w:type="dxa"/>
            <w:vAlign w:val="bottom"/>
          </w:tcPr>
          <w:p>
            <w:pPr>
              <w:spacing w:after="0"/>
              <w:rPr>
                <w:sz w:val="24"/>
                <w:szCs w:val="24"/>
                <w:color w:val="auto"/>
              </w:rPr>
            </w:pPr>
          </w:p>
        </w:tc>
      </w:tr>
      <w:tr>
        <w:trPr>
          <w:trHeight w:val="24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Pr>
          <w:p>
            <w:pPr>
              <w:spacing w:after="0"/>
              <w:rPr>
                <w:sz w:val="21"/>
                <w:szCs w:val="21"/>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0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418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9"/>
              </w:rPr>
              <w:t>STRT</w:t>
            </w:r>
          </w:p>
        </w:tc>
        <w:tc>
          <w:tcPr>
            <w:tcW w:w="4180" w:type="dxa"/>
            <w:vAlign w:val="bottom"/>
          </w:tcPr>
          <w:p>
            <w:pPr>
              <w:jc w:val="center"/>
              <w:ind w:right="79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90" w:lineRule="exact"/>
        <w:rPr>
          <w:sz w:val="24"/>
          <w:szCs w:val="24"/>
          <w:color w:val="auto"/>
        </w:rPr>
      </w:pPr>
    </w:p>
    <w:p>
      <w:pPr>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6" w:right="35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57" w:lineRule="exact"/>
        <w:rPr>
          <w:sz w:val="24"/>
          <w:szCs w:val="24"/>
          <w:color w:val="auto"/>
        </w:rPr>
      </w:pPr>
    </w:p>
    <w:p>
      <w:pPr>
        <w:sectPr>
          <w:pgSz w:w="11900" w:h="16838" w:orient="portrait"/>
          <w:cols w:equalWidth="0" w:num="2">
            <w:col w:w="1980" w:space="520"/>
            <w:col w:w="8720"/>
          </w:cols>
          <w:pgMar w:left="320" w:top="916" w:right="359" w:bottom="1440" w:gutter="0" w:footer="0" w:header="0"/>
          <w:type w:val="continuous"/>
        </w:sectPr>
      </w:pPr>
    </w:p>
    <w:p>
      <w:pPr>
        <w:ind w:right="180" w:firstLine="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0" w:right="15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right="340" w:firstLine="300"/>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4,178,799 shares outstanding as of May 1, 2026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STRATTEC SECURITY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6660" w:type="dxa"/>
            <w:vAlign w:val="bottom"/>
            <w:gridSpan w:val="13"/>
            <w:vMerge w:val="restart"/>
          </w:tcPr>
          <w:p>
            <w:pPr>
              <w:jc w:val="center"/>
              <w:ind w:right="3700"/>
              <w:spacing w:after="0"/>
              <w:rPr>
                <w:sz w:val="20"/>
                <w:szCs w:val="20"/>
                <w:color w:val="auto"/>
              </w:rPr>
            </w:pPr>
            <w:r>
              <w:rPr>
                <w:rFonts w:ascii="Times New Roman" w:cs="Times New Roman" w:eastAsia="Times New Roman" w:hAnsi="Times New Roman"/>
                <w:sz w:val="18"/>
                <w:szCs w:val="18"/>
                <w:color w:val="0000FF"/>
                <w:w w:val="99"/>
              </w:rPr>
              <w:t>PART 1. FINANCIAL INFORMATION</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660" w:type="dxa"/>
            <w:vAlign w:val="bottom"/>
            <w:gridSpan w:val="13"/>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2960" w:type="dxa"/>
            <w:vAlign w:val="bottom"/>
            <w:tcBorders>
              <w:top w:val="single" w:sz="8" w:color="0000FF"/>
            </w:tcBorders>
            <w:gridSpan w:val="10"/>
          </w:tcPr>
          <w:p>
            <w:pPr>
              <w:spacing w:after="0"/>
              <w:rPr>
                <w:sz w:val="17"/>
                <w:szCs w:val="17"/>
                <w:color w:val="auto"/>
              </w:rPr>
            </w:pPr>
          </w:p>
        </w:tc>
        <w:tc>
          <w:tcPr>
            <w:tcW w:w="3700" w:type="dxa"/>
            <w:vAlign w:val="bottom"/>
            <w:gridSpan w:val="3"/>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Income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Comprehensive Income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12"/>
        </w:trPr>
        <w:tc>
          <w:tcPr>
            <w:tcW w:w="16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gridSpan w:val="13"/>
          </w:tcPr>
          <w:p>
            <w:pPr>
              <w:jc w:val="center"/>
              <w:ind w:right="3680"/>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620" w:type="dxa"/>
            <w:vAlign w:val="bottom"/>
            <w:tcBorders>
              <w:top w:val="single" w:sz="8" w:color="0000FF"/>
            </w:tcBorders>
            <w:gridSpan w:val="7"/>
          </w:tcPr>
          <w:p>
            <w:pPr>
              <w:spacing w:after="0"/>
              <w:rPr>
                <w:sz w:val="17"/>
                <w:szCs w:val="17"/>
                <w:color w:val="auto"/>
              </w:rPr>
            </w:pPr>
          </w:p>
        </w:tc>
        <w:tc>
          <w:tcPr>
            <w:tcW w:w="386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12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040" w:type="dxa"/>
            <w:vAlign w:val="bottom"/>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215"/>
        </w:trPr>
        <w:tc>
          <w:tcPr>
            <w:tcW w:w="16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for Strattec Security Corporation ("Strattec," "the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and financial performance are subject to certain risks and uncertainties, including:</w:t>
      </w:r>
    </w:p>
    <w:p>
      <w:pPr>
        <w:spacing w:after="0" w:line="27" w:lineRule="exact"/>
        <w:rPr>
          <w:sz w:val="20"/>
          <w:szCs w:val="20"/>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uncertain economic environment and inflationary conditions coupled with the cyclical nature of the automotive industry may adversely affect global vehicle production and demand for our products;</w:t>
      </w:r>
    </w:p>
    <w:p>
      <w:pPr>
        <w:ind w:left="580" w:hanging="37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technological developments within our sphere of offerings are rapidly evolving;</w:t>
      </w:r>
    </w:p>
    <w:p>
      <w:pPr>
        <w:spacing w:after="0" w:line="9" w:lineRule="exact"/>
        <w:rPr>
          <w:rFonts w:ascii="Times New Roman" w:cs="Times New Roman" w:eastAsia="Times New Roman" w:hAnsi="Times New Roman"/>
          <w:sz w:val="18"/>
          <w:szCs w:val="18"/>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purchasing actions, warranty provisions and product recall policies could adversely affect our business, results of operations and financial condition;</w:t>
      </w:r>
    </w:p>
    <w:p>
      <w:pPr>
        <w:ind w:left="580" w:right="2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within our operations or at the location of our key customers as a result of labor disputes could adversely impact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 inflation or unionization efforts in Mexico, coupled with a shortage of skilled laborers in the United States, could increase our manufacturing expenses and impact production efficiency;</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or international trade policies could adversely affect our results, particularly with respect to goods imported into the United States or produced under U.S. trade agreements such as the USMCA;</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restrictions impacting the import of goods and components stemming from heightened security procedures or changes in policies implemented by the U.S. or Mexican governments related to U.S.-Mexico border crossings could have a negative effect on our business;</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volume and scope of product returns or customer cost reimbursement actions could adversely impact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in the costs of operations, warranty claims, adverse business and operational issues could be affected by a material global supply chain and logistics disruption;</w:t>
      </w:r>
    </w:p>
    <w:p>
      <w:pPr>
        <w:jc w:val="both"/>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conditions, including regional conflicts, could adversely affect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security management systems and cybersecurity incidents could adversely affect our business, results of operations and financial condition; and</w:t>
      </w:r>
    </w:p>
    <w:p>
      <w:pPr>
        <w:ind w:left="580" w:hanging="378"/>
        <w:spacing w:after="0" w:line="26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including, but not limited to, the factors listed in the “Risk Factors” in Part I, Item 1A included in the Company’s Annual Report on Form 10-K for the year ended June 29, 2025 filed with the SEC on August 25, 2025 (the "Annual Report").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update such forward-looking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49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STRATTEC SECURITY CORPORATION AND SUBSIDIARIES CONDENSED CONSOLIDATED STATEMENTS OF INCOME (UNAUDITED) </w:t>
      </w:r>
      <w:r>
        <w:rPr>
          <w:rFonts w:ascii="Times New Roman" w:cs="Times New Roman" w:eastAsia="Times New Roman" w:hAnsi="Times New Roman"/>
          <w:sz w:val="18"/>
          <w:szCs w:val="18"/>
          <w:b w:val="1"/>
          <w:bCs w:val="1"/>
          <w:i w:val="1"/>
          <w:iCs w:val="1"/>
          <w:color w:val="auto"/>
        </w:rPr>
        <w:t>(in thousands, except per share amounts)</w:t>
      </w:r>
    </w:p>
    <w:tbl>
      <w:tblPr>
        <w:tblLayout w:type="fixed"/>
        <w:tblInd w:w="0" w:type="dxa"/>
        <w:tblCellMar>
          <w:top w:w="0" w:type="dxa"/>
          <w:left w:w="0" w:type="dxa"/>
          <w:bottom w:w="0" w:type="dxa"/>
          <w:right w:w="0" w:type="dxa"/>
        </w:tblCellMar>
      </w:tblPr>
      <w:tr>
        <w:trPr>
          <w:trHeight w:val="151"/>
        </w:trPr>
        <w:tc>
          <w:tcPr>
            <w:tcW w:w="49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right"/>
              <w:ind w:right="74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right"/>
              <w:ind w:right="780"/>
              <w:spacing w:after="0" w:line="151"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137,632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427,565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413,053</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355,848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353,876</w:t>
            </w:r>
          </w:p>
        </w:tc>
        <w:tc>
          <w:tcPr>
            <w:tcW w:w="120" w:type="dxa"/>
            <w:vAlign w:val="bottom"/>
          </w:tcPr>
          <w:p>
            <w:pPr>
              <w:spacing w:after="0"/>
              <w:rPr>
                <w:sz w:val="18"/>
                <w:szCs w:val="18"/>
                <w:color w:val="auto"/>
              </w:rPr>
            </w:pPr>
          </w:p>
        </w:tc>
      </w:tr>
      <w:tr>
        <w:trPr>
          <w:trHeight w:val="209"/>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120" w:type="dxa"/>
            <w:vAlign w:val="bottom"/>
          </w:tcPr>
          <w:p>
            <w:pPr>
              <w:spacing w:after="0"/>
              <w:rPr>
                <w:sz w:val="18"/>
                <w:szCs w:val="18"/>
                <w:color w:val="auto"/>
              </w:rPr>
            </w:pPr>
          </w:p>
        </w:tc>
      </w:tr>
      <w:tr>
        <w:trPr>
          <w:trHeight w:val="210"/>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10"/>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8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Pr>
          <w:p>
            <w:pPr>
              <w:spacing w:after="0"/>
              <w:rPr>
                <w:sz w:val="18"/>
                <w:szCs w:val="18"/>
                <w:color w:val="auto"/>
              </w:rPr>
            </w:pPr>
          </w:p>
        </w:tc>
      </w:tr>
      <w:tr>
        <w:trPr>
          <w:trHeight w:val="209"/>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r>
      <w:tr>
        <w:trPr>
          <w:trHeight w:val="250"/>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20" w:type="dxa"/>
            <w:vAlign w:val="bottom"/>
            <w:shd w:val="clear" w:color="auto" w:fill="CFF0FC"/>
          </w:tcPr>
          <w:p>
            <w:pPr>
              <w:spacing w:after="0"/>
              <w:rPr>
                <w:sz w:val="21"/>
                <w:szCs w:val="21"/>
                <w:color w:val="auto"/>
              </w:rPr>
            </w:pPr>
          </w:p>
        </w:tc>
      </w:tr>
      <w:tr>
        <w:trPr>
          <w:trHeight w:val="196"/>
        </w:trPr>
        <w:tc>
          <w:tcPr>
            <w:tcW w:w="498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9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FF0FC"/>
          </w:tcPr>
          <w:p>
            <w:pPr>
              <w:spacing w:after="0"/>
              <w:rPr>
                <w:sz w:val="20"/>
                <w:szCs w:val="20"/>
                <w:color w:val="auto"/>
              </w:rPr>
            </w:pPr>
          </w:p>
        </w:tc>
      </w:tr>
      <w:tr>
        <w:trPr>
          <w:trHeight w:val="210"/>
        </w:trPr>
        <w:tc>
          <w:tcPr>
            <w:tcW w:w="4980" w:type="dxa"/>
            <w:vAlign w:val="bottom"/>
            <w:tcBorders>
              <w:top w:val="single" w:sz="8" w:color="CFF0FC"/>
            </w:tcBorders>
          </w:tcPr>
          <w:p>
            <w:pPr>
              <w:spacing w:after="0"/>
              <w:rPr>
                <w:sz w:val="18"/>
                <w:szCs w:val="18"/>
                <w:color w:val="auto"/>
              </w:rPr>
            </w:pPr>
          </w:p>
        </w:tc>
        <w:tc>
          <w:tcPr>
            <w:tcW w:w="8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-1182370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-1165225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-1182370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-1165225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-1165225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-582295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-565150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-582295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5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(4,082)</w:t>
            </w:r>
          </w:p>
        </w:tc>
      </w:tr>
      <w:tr>
        <w:trPr>
          <w:trHeight w:val="216"/>
        </w:trPr>
        <w:tc>
          <w:tcPr>
            <w:tcW w:w="5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Pension and postretirement plans</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(3,754)</w:t>
            </w: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19,423</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Strattec</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-599440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-599440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106,957</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Finished products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Work in process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Purchased materials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Inventories, net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73,401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Pre-production costs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Value-added tax recoverable</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304,157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290,063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Land and improvements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224,669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273,234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71,400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77,410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4,296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399,547</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64,742</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Value-added tax payable</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Warranty reserve</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Current portion of borrowings under credit facilities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115,846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Noncurrent portion of borrowings under credit facilities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Post-employment benefits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Common stock, authorized 18,000,000 shares, $.01 par value, 7,701,768</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shares at March 29, 2026 and 7,635,883 issued shares at June 29, 2025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106,425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103,784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(15,209)</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(16,113)</w:t>
            </w: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Less: treasury stock, at cost (3,616,086 shares at March 29, 2026 and</w:t>
            </w:r>
          </w:p>
        </w:tc>
        <w:tc>
          <w:tcPr>
            <w:tcW w:w="280" w:type="dxa"/>
            <w:vAlign w:val="bottom"/>
          </w:tcPr>
          <w:p>
            <w:pPr>
              <w:spacing w:after="0"/>
              <w:rPr>
                <w:sz w:val="15"/>
                <w:szCs w:val="15"/>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(136,795)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(135,452)</w:t>
            </w:r>
          </w:p>
        </w:tc>
        <w:tc>
          <w:tcPr>
            <w:tcW w:w="0" w:type="dxa"/>
            <w:vAlign w:val="bottom"/>
          </w:tcPr>
          <w:p>
            <w:pPr>
              <w:spacing w:after="0"/>
              <w:rPr>
                <w:sz w:val="1"/>
                <w:szCs w:val="1"/>
                <w:color w:val="auto"/>
              </w:rPr>
            </w:pPr>
          </w:p>
        </w:tc>
      </w:tr>
      <w:tr>
        <w:trPr>
          <w:trHeight w:val="211"/>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3,596,549 shares at June 29, 2025)</w:t>
            </w:r>
          </w:p>
        </w:tc>
        <w:tc>
          <w:tcPr>
            <w:tcW w:w="2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Strattec shareholders’ equity</w:t>
            </w: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240,511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221,592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Non-controlling interest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267,153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246,431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399,547</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-3565525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6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0" w:type="dxa"/>
            <w:vAlign w:val="bottom"/>
          </w:tcPr>
          <w:p>
            <w:pPr>
              <w:spacing w:after="0"/>
              <w:rPr>
                <w:sz w:val="10"/>
                <w:szCs w:val="10"/>
                <w:color w:val="auto"/>
              </w:rPr>
            </w:pPr>
          </w:p>
        </w:tc>
      </w:tr>
      <w:tr>
        <w:trPr>
          <w:trHeight w:val="173"/>
        </w:trPr>
        <w:tc>
          <w:tcPr>
            <w:tcW w:w="6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00" w:type="dxa"/>
            <w:vAlign w:val="bottom"/>
          </w:tcPr>
          <w:p>
            <w:pPr>
              <w:spacing w:after="0"/>
              <w:rPr>
                <w:sz w:val="18"/>
                <w:szCs w:val="18"/>
                <w:color w:val="auto"/>
              </w:rPr>
            </w:pPr>
          </w:p>
        </w:tc>
      </w:tr>
      <w:tr>
        <w:trPr>
          <w:trHeight w:val="198"/>
        </w:trPr>
        <w:tc>
          <w:tcPr>
            <w:tcW w:w="6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activities:</w:t>
            </w: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peso contracts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(10,237)</w:t>
            </w: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w:t>
            </w:r>
          </w:p>
        </w:tc>
      </w:tr>
      <w:tr>
        <w:trPr>
          <w:trHeight w:val="210"/>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w:t>
            </w: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under credit facilities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for debt issuance costs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for taxes withheld from stock-based awards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issuances</w:t>
            </w:r>
          </w:p>
        </w:tc>
        <w:tc>
          <w:tcPr>
            <w:tcW w:w="1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36,696</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00" w:type="dxa"/>
            <w:vAlign w:val="bottom"/>
          </w:tcPr>
          <w:p>
            <w:pPr>
              <w:spacing w:after="0"/>
              <w:rPr>
                <w:sz w:val="18"/>
                <w:szCs w:val="18"/>
                <w:color w:val="auto"/>
              </w:rPr>
            </w:pPr>
          </w:p>
        </w:tc>
      </w:tr>
      <w:tr>
        <w:trPr>
          <w:trHeight w:val="250"/>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106,957</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62,106</w:t>
            </w:r>
          </w:p>
        </w:tc>
        <w:tc>
          <w:tcPr>
            <w:tcW w:w="100" w:type="dxa"/>
            <w:vAlign w:val="bottom"/>
            <w:shd w:val="clear" w:color="auto" w:fill="CFF0FC"/>
          </w:tcPr>
          <w:p>
            <w:pPr>
              <w:spacing w:after="0"/>
              <w:rPr>
                <w:sz w:val="21"/>
                <w:szCs w:val="21"/>
                <w:color w:val="auto"/>
              </w:rPr>
            </w:pPr>
          </w:p>
        </w:tc>
      </w:tr>
      <w:tr>
        <w:trPr>
          <w:trHeight w:val="196"/>
        </w:trPr>
        <w:tc>
          <w:tcPr>
            <w:tcW w:w="650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-3225800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-3225800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-2119630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-2119630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-996950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-979805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5580" w:right="4180" w:hanging="557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ind w:right="4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SHAREHOLDERS’ EQUITY </w:t>
      </w:r>
      <w:r>
        <w:rPr>
          <w:rFonts w:ascii="Times New Roman" w:cs="Times New Roman" w:eastAsia="Times New Roman" w:hAnsi="Times New Roman"/>
          <w:sz w:val="18"/>
          <w:szCs w:val="18"/>
          <w:b w:val="1"/>
          <w:bCs w:val="1"/>
          <w:i w:val="1"/>
          <w:iCs w:val="1"/>
          <w:color w:val="auto"/>
        </w:rPr>
        <w:t>(in thousands)</w:t>
      </w:r>
    </w:p>
    <w:tbl>
      <w:tblPr>
        <w:tblLayout w:type="fixed"/>
        <w:tblInd w:w="0" w:type="dxa"/>
        <w:tblCellMar>
          <w:top w:w="0" w:type="dxa"/>
          <w:left w:w="0" w:type="dxa"/>
          <w:bottom w:w="0" w:type="dxa"/>
          <w:right w:w="0" w:type="dxa"/>
        </w:tblCellMar>
      </w:tblPr>
      <w:tr>
        <w:trPr>
          <w:trHeight w:val="129"/>
        </w:trPr>
        <w:tc>
          <w:tcPr>
            <w:tcW w:w="2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Capital in Excess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of Par Value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29, 2025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103,784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269,297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(16,113)</w:t>
            </w: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(135,452)</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Shares withheld for taxes on stock-</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based awards</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tcBorders>
              <w:bottom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 September 28, 2025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277,826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(15,453)</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(136,366)</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Shares withheld for taxes 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based awards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December 28, 2025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105,601</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282,773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(14,935)</w:t>
            </w: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(136,718)</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26,216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68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198"/>
        </w:trPr>
        <w:tc>
          <w:tcPr>
            <w:tcW w:w="2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Shares withheld for taxes on stock-</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based awards</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tcBorders>
              <w:bottom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 March 29, 2026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106,425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286,013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(15,209)</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(136,795)</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-3436620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-3436620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-3436620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-3436620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-3436620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-3436620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-2047875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-2030730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-2047875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-2030730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-2047875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-2030730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-2047875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-2030730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-2047875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-2030730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-2047875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-2030730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-933450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-933450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-933450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-933450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-933450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-933450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ind w:right="4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SHAREHOLDERS’ EQUITY </w:t>
      </w: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Capital in Excess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0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of Par Value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101,024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(15,689)</w:t>
            </w: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(135,478)</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(1,671)</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(2,760)</w:t>
            </w:r>
          </w:p>
        </w:tc>
        <w:tc>
          <w:tcPr>
            <w:tcW w:w="0" w:type="dxa"/>
            <w:vAlign w:val="bottom"/>
          </w:tcPr>
          <w:p>
            <w:pPr>
              <w:spacing w:after="0"/>
              <w:rPr>
                <w:sz w:val="1"/>
                <w:szCs w:val="1"/>
                <w:color w:val="auto"/>
              </w:rPr>
            </w:pPr>
          </w:p>
        </w:tc>
      </w:tr>
      <w:tr>
        <w:trPr>
          <w:trHeight w:val="198"/>
        </w:trPr>
        <w:tc>
          <w:tcPr>
            <w:tcW w:w="26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September 29, 2024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101,218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254,315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(17,104)</w:t>
            </w: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(135,471)</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60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(759)</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198"/>
        </w:trPr>
        <w:tc>
          <w:tcPr>
            <w:tcW w:w="26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December 29, 2024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102,118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255,634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(17,827)</w:t>
            </w: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(135,465)</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228,155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98"/>
        </w:trPr>
        <w:tc>
          <w:tcPr>
            <w:tcW w:w="26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March 30, 2025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261,030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(17,836)</w:t>
            </w: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(135,459)</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-1979295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-1962785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-1979295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-1962785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-1979295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-1962785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-1979295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-1962785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-1979295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-1962785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-1979295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-1962785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-1002030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-985520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-1002030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-985520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-1002030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-985520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-1002030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-985520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-1002030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-985520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-1002030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-985520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-8255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Strattec Security Corporation (the "Company" or “Strattec”), headquartered in Milwaukee, Wisconsin, is a leading global manufacturer and provider of highly engineered advanced automotive access and security products and solutions. Products include power access solutions, locks &amp; locksets, keys &amp; fobs, engineered latches, vehicle start systems, door handles, and other vehicle access products. Power access solutions provide the motion control for power liftgates, sliding power doors and power tailgates. While the Company serves major automotive original equipment manufacturers (“OEMs”) globally, the majority of sales are to the three largest OEMs in North America.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United States generally accepted accounting principles (“GAAP”) for interim financial reporting and with the instructions of Form 10-Q and Article 10 of Regulation S-X. Accordingly, they do not include all of the information and footnotes required by GAAP for complete financial statements. The condensed consolidated balance sheet data as of June 29, 2025 was derived from the Company’s audited financial statements but does not include all disclosures required by GAAP. For additional information, including the Company’s significant accounting policies, refer to the consolidated financial statements and related footnotes in the Annual Report.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considered necessary for a fair statement of financial results have been made. Such adjustments consist of only those of a normal recurring nature. Operating results for the three and nine months ended March 29, 2026 are not necessarily indicative of the results that may be expected for the entire fiscal year ending June 28, 2026. The condensed consolidated financial statements include the results of all wholly owned subsidiaries, as well as the results of a majority owned joint venture.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adoption of ASU 2023-09 will not affect the Company’s financial position or its results of operations but will result in additional disclosures for the fiscal 2026 annual period and for interim periods thereafter.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adoption of ASU 2024-03 will not affect the Company’s financial position or its results of operations but will result in additional disclosures for the fiscal 2028 annual period and for interim periods thereafter.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offers its customers an assurance warranty on products sold, although warranty periods may vary by product type and application. 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assumptions and is based on an analysis of historical warranty data as well as current trends and information. Changes in the warranty reserve were as follows (in thousands):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Provision charged to expense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Payments, net of recoveries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3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8,567</w:t>
            </w:r>
          </w:p>
        </w:tc>
        <w:tc>
          <w:tcPr>
            <w:tcW w:w="26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10,946</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10,695</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-582295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-307975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700"/>
          </w:cols>
          <w:pgMar w:left="320" w:top="119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revolving credit agreement with BMO Harris N.A. ("Amended &amp; Restated Credit Agreement"), which provides for a $40 million revolving line of credit maturing October 2028. The facility bears interest at varying rates based on the bank's prime rate or SOFR plus 1.50%. There were no outstanding borrowings on the facility during the nine months ended March 29, 2026 and March 30, 2025. The credit facility is secured by U.S. cash balances, accounts receivable, inventory, and fixed assets located in the U.S. and contains a restrictive financial covenant that requires a minimum net worth level.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joint venture, ADAC-Strattec LLC, previously had an $18 million secured revolving credit facility (the “ADAC-Strattec Credit Facility”) with BMO Harris Bank N.A., under which the Company was a guarantor. Interest on borrowings under the ADAC-Strattec Credit Facility were at varying rates based on the bank's prime rate plus 2% or SOFR plus 3.10%. On April 30, 2026, the joint venture entered into an amended and restated revolving credit agreement with BMO Harris N.A. (the "Amended &amp; Restated JV Credit Facility"), which provides for a $10 million asset-based revolving line of credit, subject to a borrowing base, maturing October 2028. The Amended &amp; Restated JV Credit Facility bears interest at varying rates based on the bank's prime rate plus 1.00% or SOFR plus 1.75%. The Amended &amp; Restated JV Credit Facility replaces the previous joint venture facility, which was terminated upon the closing of the agreement. The credit facility is secured by substantially all of the joint venture's assets and contains restrictive financial covenants that require a minimum net worth level and a minimum fixed charge coverage ratio.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2026, the Company and the joint venture were in compliance with all financial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the ADAC-Strattec Credit Facility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5"/>
                <w:szCs w:val="15"/>
                <w:color w:val="auto"/>
              </w:rPr>
            </w:pPr>
          </w:p>
        </w:tc>
      </w:tr>
      <w:tr>
        <w:trPr>
          <w:trHeight w:val="209"/>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outstanding borrowings and the weighted average interest rate under the ADAC-Strattec Credit Facility were as follows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68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10"/>
        </w:trPr>
        <w:tc>
          <w:tcPr>
            <w:tcW w:w="6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Average outstanding borrowings</w:t>
            </w:r>
          </w:p>
        </w:tc>
        <w:tc>
          <w:tcPr>
            <w:tcW w:w="1460" w:type="dxa"/>
            <w:vAlign w:val="bottom"/>
            <w:tcBorders>
              <w:top w:val="single" w:sz="8" w:color="auto"/>
            </w:tcBorders>
            <w:shd w:val="clear" w:color="auto" w:fill="CFF0FC"/>
          </w:tcPr>
          <w:p>
            <w:pPr>
              <w:jc w:val="right"/>
              <w:ind w:right="13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4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80" w:type="dxa"/>
            <w:vAlign w:val="bottom"/>
            <w:shd w:val="clear" w:color="auto" w:fill="CFF0FC"/>
          </w:tcPr>
          <w:p>
            <w:pPr>
              <w:spacing w:after="0"/>
              <w:rPr>
                <w:sz w:val="18"/>
                <w:szCs w:val="18"/>
                <w:color w:val="auto"/>
              </w:rPr>
            </w:pPr>
          </w:p>
        </w:tc>
      </w:tr>
      <w:tr>
        <w:trPr>
          <w:trHeight w:val="234"/>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4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the Company's manufacturing costs are incurred in Mexican pesos, which causes earnings and cash flows to fluctuate with changes in the U.S. dollar/Mexican peso exchange rate. During the three and nine month periods ended March 29, 2026 and March 30, 2025, the Company entered into contracts with a creditworthy counterparty that provide for monthly Mexican peso currency forward contracts for a portion of peso denominated operating costs. The following table quantifies the outstanding forward contracts as of March 29, 2026 (in thousands, except with respect to the average forward exchange rate):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3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Forward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January 2026 - March 2027</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tax expense and effective tax rate for the three and nine month periods ended March 29, 2026 and March 30, 2025 were as follows (in thousands and percentage of Income before income taxes and non-controlling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8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8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r>
      <w:tr>
        <w:trPr>
          <w:trHeight w:val="432"/>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primarily Mexico. The Company's income tax positions are based on interpretations of income tax laws and rulings in each of the jurisdictions in which the Company operates. Interim income tax expense is determined based on an estimate of the overall annual effective income tax rate which can vary due to the relationship of foreign and domestic earnings, state taxes and available deductions, credits and discrete items. The effective tax rate for each period presented differs from the U.S. federal statutory rate of 21% primarily due to the accrual of foreign income taxes, which are generally higher than the U.S. federal statutory rate, partially offset by the recognition of U.S. research and development tax credits and discrete income tax benefits associated with share-based payments.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was enacted. There are multiple business tax provisions for which further guidance from the U.S. Treasury and the Internal Revenue Service is needed. The Company is currently reviewing and evaluating the impact of the guidance provided to date that could affect our income tax payable and deferred tax liability, including changes related to bonus depreciation and the expensing of research and development expenditures, among other topics.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0" w:type="dxa"/>
            <w:vAlign w:val="bottom"/>
          </w:tcPr>
          <w:p>
            <w:pPr>
              <w:spacing w:after="0"/>
              <w:rPr>
                <w:sz w:val="10"/>
                <w:szCs w:val="10"/>
                <w:color w:val="auto"/>
              </w:rPr>
            </w:pPr>
          </w:p>
        </w:tc>
      </w:tr>
      <w:tr>
        <w:trPr>
          <w:trHeight w:val="173"/>
        </w:trPr>
        <w:tc>
          <w:tcPr>
            <w:tcW w:w="5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employee stock compensation plan</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5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r>
      <w:tr>
        <w:trPr>
          <w:trHeight w:val="234"/>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-448310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-431165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-448310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-431165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-448310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-431165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granted service-based restricted stock awards ("RSAs") and performance stock units ("PSUs") to employees and non-employee directors under existing stock incentive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authorized under the current 2024 Equity Incentive Plan is 550,000. As of March 29, 2026, there were 362,816 shares available for future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29, 2026, there was $1.6 million of unrecognized compensation cost related to non-vested PSUs and $3.5 million of unrecognized compensation cost related to non-vested RSAs, which will be expensed over the remaining vesting period of approximately 2 years. As of March 30, 2025, there was $3.3 million of unrecognized compensation cost related to non-vested RSAs and PSUs.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and performance stock unit activity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RSAs</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June 29, 2025</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1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(65,885)</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March 29, 2026</w:t>
            </w:r>
          </w:p>
        </w:tc>
        <w:tc>
          <w:tcPr>
            <w:tcW w:w="17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0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-933450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-916305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9. OTHER INCOME (EXPENSE),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Other income (expense), net included in the accompanying consolidated statements of income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Pr>
          <w:p>
            <w:pPr>
              <w:spacing w:after="0"/>
              <w:rPr>
                <w:sz w:val="10"/>
                <w:szCs w:val="10"/>
                <w:color w:val="auto"/>
              </w:rPr>
            </w:pPr>
          </w:p>
        </w:tc>
      </w:tr>
      <w:tr>
        <w:trPr>
          <w:trHeight w:val="173"/>
        </w:trPr>
        <w:tc>
          <w:tcPr>
            <w:tcW w:w="5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 gain (loss)</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gain (loss) on peso forward contracts, net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peso forward contracts, net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(2,810)</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Non-service pension and postemployment cost</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r>
      <w:tr>
        <w:trPr>
          <w:trHeight w:val="230"/>
        </w:trPr>
        <w:tc>
          <w:tcPr>
            <w:tcW w:w="57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ACCUMULATED OTHER COMPREHENSIVE LOSS BY COMPONENT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by component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5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r>
      <w:tr>
        <w:trPr>
          <w:trHeight w:val="210"/>
        </w:trPr>
        <w:tc>
          <w:tcPr>
            <w:tcW w:w="5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and postretirement benefit plans: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Unrecognized net income</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r>
      <w:tr>
        <w:trPr>
          <w:trHeight w:val="210"/>
        </w:trPr>
        <w:tc>
          <w:tcPr>
            <w:tcW w:w="56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top w:val="single" w:sz="8" w:color="CFF0FC"/>
            </w:tcBorders>
          </w:tcPr>
          <w:p>
            <w:pPr>
              <w:spacing w:after="0"/>
              <w:rPr>
                <w:sz w:val="18"/>
                <w:szCs w:val="18"/>
                <w:color w:val="auto"/>
              </w:rPr>
            </w:pPr>
          </w:p>
        </w:tc>
      </w:tr>
      <w:tr>
        <w:trPr>
          <w:trHeight w:val="22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20" w:type="dxa"/>
            <w:vAlign w:val="bottom"/>
            <w:shd w:val="clear" w:color="auto" w:fill="CFF0FC"/>
          </w:tcPr>
          <w:p>
            <w:pPr>
              <w:spacing w:after="0"/>
              <w:rPr>
                <w:sz w:val="19"/>
                <w:szCs w:val="19"/>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-873760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-873760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-873760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-316230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-316230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-316230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owns 51% of a joint venture, which was formed in fiscal 2007 to jointly conduct the business of manufacturing, warehousing and selling painted door handles and exterior trim products in Canada, the United States and Mexico. The following tables summarize the related party transactions that arise as a result of the joint venture operating agreement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Pr>
          <w:p>
            <w:pPr>
              <w:spacing w:after="0"/>
              <w:rPr>
                <w:sz w:val="10"/>
                <w:szCs w:val="10"/>
                <w:color w:val="auto"/>
              </w:rPr>
            </w:pPr>
          </w:p>
        </w:tc>
        <w:tc>
          <w:tcPr>
            <w:tcW w:w="1140" w:type="dxa"/>
            <w:vAlign w:val="bottom"/>
            <w:tcBorders>
              <w:top w:val="single" w:sz="8" w:color="auto"/>
            </w:tcBorders>
            <w:gridSpan w:val="4"/>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expense</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5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7,260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 partner</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5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4,484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8"/>
        </w:trPr>
        <w:tc>
          <w:tcPr>
            <w:tcW w:w="4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73"/>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joint venture partner</w:t>
            </w: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center"/>
              <w:ind w:right="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FF0FC"/>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joint venture partner</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6,550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20"/>
                <w:szCs w:val="20"/>
                <w:color w:val="auto"/>
              </w:rPr>
            </w:pPr>
          </w:p>
        </w:tc>
      </w:tr>
      <w:tr>
        <w:trPr>
          <w:trHeight w:val="630"/>
        </w:trPr>
        <w:tc>
          <w:tcPr>
            <w:tcW w:w="44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assesses the performance and makes capital and resource allocation decisions based on Net income attributable to Strattec.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considers the impact of significant segment expenses on this measure to assess profitability and guide strategic decision making including entering into significant contracts, expanding into new markets or launching new products, making significant capital expenditures, hiring and terminating key personnel and approving operating budgets.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significant segment expenses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March 30, 2025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March 30, 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137,632</w:t>
            </w: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144,082</w:t>
            </w:r>
          </w:p>
        </w:tc>
        <w:tc>
          <w:tcPr>
            <w:tcW w:w="10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427,565</w:t>
            </w: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413,053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expenses: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material costs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73,858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78,696</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234,169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229,270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and overhead costs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costs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costs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Engineering costs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20,123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16,716</w:t>
            </w:r>
          </w:p>
        </w:tc>
        <w:tc>
          <w:tcPr>
            <w:tcW w:w="10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product group were as follows (in thousands):</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Power access solutions</w:t>
            </w:r>
          </w:p>
        </w:tc>
        <w:tc>
          <w:tcPr>
            <w:tcW w:w="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33,481</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36,508</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106,063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101,570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70,905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and service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-2296795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-2296795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-2296795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-2013585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-2013585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-2013585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-2013585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and receivables from customers that individually accounted for 10% or more of the Company's total net sales were as follows (in thousands and percent of total):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Net Sales</w:t>
            </w:r>
          </w:p>
        </w:tc>
        <w:tc>
          <w:tcPr>
            <w:tcW w:w="220" w:type="dxa"/>
            <w:vAlign w:val="bottom"/>
          </w:tcPr>
          <w:p>
            <w:pPr>
              <w:spacing w:after="0"/>
              <w:rPr>
                <w:sz w:val="12"/>
                <w:szCs w:val="12"/>
                <w:color w:val="auto"/>
              </w:rPr>
            </w:pPr>
          </w:p>
        </w:tc>
        <w:tc>
          <w:tcPr>
            <w:tcW w:w="5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Net Sales</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Net Sales</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118,635</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122,630</w:t>
            </w:r>
          </w:p>
        </w:tc>
        <w:tc>
          <w:tcPr>
            <w:tcW w:w="128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93,631</w:t>
            </w:r>
          </w:p>
        </w:tc>
        <w:tc>
          <w:tcPr>
            <w:tcW w:w="11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88"/>
              </w:rPr>
              <w:t>23</w:t>
            </w:r>
          </w:p>
        </w:tc>
        <w:tc>
          <w:tcPr>
            <w:tcW w:w="180" w:type="dxa"/>
            <w:vAlign w:val="bottom"/>
          </w:tcPr>
          <w:p>
            <w:pPr>
              <w:spacing w:after="0"/>
              <w:rPr>
                <w:sz w:val="18"/>
                <w:szCs w:val="18"/>
                <w:color w:val="auto"/>
              </w:rPr>
            </w:pPr>
          </w:p>
        </w:tc>
      </w:tr>
      <w:tr>
        <w:trPr>
          <w:trHeight w:val="216"/>
        </w:trPr>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69,890</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276,648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261,709</w:t>
            </w:r>
          </w:p>
        </w:tc>
        <w:tc>
          <w:tcPr>
            <w:tcW w:w="12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-1087755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-1087755</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-1087755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-1087755</wp:posOffset>
            </wp:positionV>
            <wp:extent cx="111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-1087755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-1087755</wp:posOffset>
            </wp:positionV>
            <wp:extent cx="111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-1087755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-1087755</wp:posOffset>
            </wp:positionV>
            <wp:extent cx="1117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26,581</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20</w:t>
            </w:r>
          </w:p>
        </w:tc>
        <w:tc>
          <w:tcPr>
            <w:tcW w:w="18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15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-170815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111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party to various legal actions, administrative proceedings, and claims arising in the ordinary course of business, including matters related to alleged product defects and warranties, contract disputes, intellectual property, and employment issues. The Company recognizes accruals for such matters in accordance with U.S. GAAP when a loss is probable and reasonably estimable. While the outcome of these matters cannot be predicted with certainty, based on currently available information, management does not believe the ultimate resolution of these proceedings, individually or in the aggregate, will have a material adverse effect on the Company's financial position, results of operations, or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5" w:name="page16"/>
    <w:bookmarkEnd w:id="15"/>
    <w:p>
      <w:pPr>
        <w:ind w:left="720" w:right="242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the accompanying condensed consolidated financial statements and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access experiences for end 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engineered latching solutions that give drivers confidence through proven strength, safety, and durability trusted by OEMs worldwide. As access becomes increasingly intelligent, connected, and central to vehicle experience, Strattec’s strategy is to expand its market share, further diversify its customers and geographic reach while becoming the most trusted access partner to drive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across global automotive and mobility markets.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strategic priority is to execute a business transformation to strengthen the Company’s profitability and deliver sustainable sales growth. We expect to improve our business with upgraded systems and processes, modernization of our support functions and a focus on productivity and efficiencies in our manufacturing operations. We believe this will result in an optimized cost structure and consistent cash generation through improved working capital velocity and efficient asset utilization. In the short term, cash generated from our operations will be reinvested in our business to fund our transformational efforts and growth initiatives. To drive organic growth, we will leverage our technical engineering expertise, market-leading positions and strong customer relationships to generate innovative solutions and capture more content on current platforms, win new platforms with current customers, gain new customers both domestically and abroad and build opportunities in the broader transportation industry.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Volatility in the North American automotive industry is driven by supply chain disruptions, global inflation, thinning labor availability, rising global commodity costs and a changing global trade and geopolitical climate. These macro conditions, coupled with changes in production volumes by OEMs in response to new vehicle consumer demand, impact our sales and profitability levels. An evolving tariff landscape, combined with heightened geopolitical instability in certain global regions has further disrupted supply chains and has added complexity to production and cost planning across the industry. Lower near term North American light vehicle production estimates, which are subject to change, reflect these dynamics in addition to continued industry-wide supply chain disruptions and availability of raw materials including rare earth minerals. As we look forward and navigate these macroeconomic challenges and fluctuating OEM production volumes, we are focused on executing new initiatives to improve our cost structure, continuing to mitigate the impact of incremental tariff costs, driving cash flow through improved working capital utilization and securing new platforms to solidify future sales growth.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29, 2026 (third quarter fiscal 2026) compared with the three months ended March 30, 2025 (third quarter fiscal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0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137,632</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144,082</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(6,450)</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material costs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(4,838)</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Labor and overhead costs</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120,977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(6,006)</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16.5%</w:t>
            </w:r>
          </w:p>
        </w:tc>
        <w:tc>
          <w:tcPr>
            <w:tcW w:w="5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40 bp</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(2,039)</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3.7%</w:t>
            </w:r>
          </w:p>
        </w:tc>
        <w:tc>
          <w:tcPr>
            <w:tcW w:w="5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-130 bp</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5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4,575%</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(2,248)</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(1,886)</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(2,156)</w:t>
            </w: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197"/>
        </w:trPr>
        <w:tc>
          <w:tcPr>
            <w:tcW w:w="56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-2545080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-2545080</wp:posOffset>
            </wp:positionV>
            <wp:extent cx="1117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-2545080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-2545080</wp:posOffset>
            </wp:positionV>
            <wp:extent cx="1543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-1979295</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-1979295</wp:posOffset>
            </wp:positionV>
            <wp:extent cx="1117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-1979295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-1979295</wp:posOffset>
            </wp:positionV>
            <wp:extent cx="1543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-573405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-556895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-573405</wp:posOffset>
            </wp:positionV>
            <wp:extent cx="1117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-556895</wp:posOffset>
            </wp:positionV>
            <wp:extent cx="1117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-573405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-573405</wp:posOffset>
            </wp:positionV>
            <wp:extent cx="1543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-556895</wp:posOffset>
            </wp:positionV>
            <wp:extent cx="1543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quarter fiscal 2026 sales were $137.6 million, representing a decrease of $6.5 million or 4.5%, compared to the prior year, primarily due to lower OEM production volumes and the cancellation of certain customer programs. Third quarter North American automotive industry production declined 2.7% as OEMs managed supply chain challenges and dealer inventory levels. In addition, certain customer programs were cancelled or significantly reduced as OEMs adjusted electric vehicle (“EV”) production plans and product portfolios, which resulted in a $3.5 million reduction in year-over-year third quarter sales. Partially offsetting these volume declines was $1.3 million of pricing, including $0.6 million of US tariff cost recoveries.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$22.7 million in the third quarter of fiscal 2026, compared to $23.1 million in the comparable prior year quarter. Despite lower volumes and the unfavorable impact of changes in foreign currency exchange rates of $2.5m, gross margin improved from 16.0% in the prior year to 16.5% in the current year. The improvement primarily reflects the benefits of cost reduction initiatives (including $1.7 million of savings from restructuring actions), productivity improvements of $1.6 million, net pricing realization of $1.0 million and $0.3 million of lower tariff costs. Third quarter fiscal 2026 gross profit also benefited from a $0.6 million recovery of previously expensed costs associated with OEM cancelled EV programs.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administrative, and engineering expenses were $17.6 million, a $1.6 million increase year-over-year. Increased costs in the current quarter were the result of incremental employee costs of $1.0 million, as higher benefit costs were partially offset by lower bonus provisions and timing of outside service spend. The current quarter also includes $0.7 million of incremental business transformation costs and a $0.7 million recovery associated with customer program cancellations.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$0.4 million due to increased levels of cash and cash equivalents, which are invested in overnight money market funds. Interest expense decreased $0.2 million, the result of a continued reduction in the average amounts outstanding under revolving credit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was $0.7 million of expense in the current period. Changes in other income (expense) reflect foreign currency transaction gains and losses, unrealized mark-to-market gains and losses on foreign currency forward contracts, and non-service post-employment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25.1% and 22.4% for the third quarter of fiscal 2026 and 2025, respectively. The effective tax rate for each period presented differs from the U.S. federal statutory rate of 21% primarily due to the accrual of foreign income taxes, which are generally higher than the U.S. federal statutory rate, partially offset by the recognition of U.S. research and development tax credits and discrete income tax benefits associated with share-based payments. The effective tax rate for the third quarter of fiscal 2026 increased primarily due to a shift in the geographic mix of earnings toward higher-tax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March 29, 2026 compared with the nine months ended March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0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427,565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413,053</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material costs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Labor and overhead costs</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121,679</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124,606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(2,927)</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355,848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353,876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71,717</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16.8%</w:t>
            </w:r>
          </w:p>
        </w:tc>
        <w:tc>
          <w:tcPr>
            <w:tcW w:w="5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240 bp</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51,362</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4.8%</w:t>
            </w:r>
          </w:p>
        </w:tc>
        <w:tc>
          <w:tcPr>
            <w:tcW w:w="5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130 bp</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5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5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196"/>
        </w:trPr>
        <w:tc>
          <w:tcPr>
            <w:tcW w:w="56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-2545080</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-2545080</wp:posOffset>
            </wp:positionV>
            <wp:extent cx="1117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-2545080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-2545080</wp:posOffset>
            </wp:positionV>
            <wp:extent cx="1543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-1979295</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-1979295</wp:posOffset>
            </wp:positionV>
            <wp:extent cx="1117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-1979295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-1979295</wp:posOffset>
            </wp:positionV>
            <wp:extent cx="1543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-573405</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-556895</wp:posOffset>
            </wp:positionV>
            <wp:extent cx="1111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-573405</wp:posOffset>
            </wp:positionV>
            <wp:extent cx="1117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-556895</wp:posOffset>
            </wp:positionV>
            <wp:extent cx="1117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-573405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-573405</wp:posOffset>
            </wp:positionV>
            <wp:extent cx="1543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-556895</wp:posOffset>
            </wp:positionV>
            <wp:extent cx="1543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1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Year-to-date net sales totaled $427.6 million, representing an increase of $14.5 million, or 4%, compared to the prior year period. The year-over-year increase in net sales was primarily driven by $9.5 million of pricing (including $2.6 million of customer recoveries for tariffs), and a $5 million increase in shipment volumes. Sales volumes reflected a $4.6 million increase on existing platforms and $3.8 million of net new program launches, which were partially offset as sales associated with cancelled EV programs declined $3.4 million compared to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Year-to-date gross profit was $71.7 million, compared with $59.2 million in the comparable prior year period. Despite unfavorable changes in foreign currency exchange rates of $4.6 million and incremental tariff costs of $1.9 million, gross profit margin improved year-over-year from 14.3% to 16.8%, a 240 basis point improvement. Material costs increased $4.9 million on higher production levels while labor and overhead costs decreased $2.9 million. Lower year-over-year conversion costs on higher sales reflect our focused efforts to manage our cost structure, which includes a $4.6 million labor cost benefit from completed restructuring 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administrative, and engineering expenses were 12.0% of sales for the nine months ended March 29, 2026, compared with 10.9% in the prior year period. Year-to-date expenses were $51.4 million, a $6.5 million increase year-over-year. The increase in costs reflects $3.0 million associated with headcount additions and higher incentive compensation costs $0.5 million, $2.5 million of business transformation costs ($0.5 million in the prior year period), and efforts to improve our cost structure including restructuring and voluntary retirement costs of $1.7 million ($1.1 million in the prior year period). These increases were partially offset by reduced executive transition costs of $1.4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$1.4 million due to increased levels of cash and cash equivalents, which are invested in overnight money market funds. Interest expense decreased $0.5 million, the result of a continued reduction in the average amounts outstanding under revolving credit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was $0.7 million of income in the current period. Changes in other income (expense) reflect foreign currency transaction gains and losses, unrealized mark-to-market gains and losses on foreign currency forward contracts, and non-service post-employment costs.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22.9% and 24.0% for the year-to-date period of fiscal 2026 and 2025, respectively. The change in the effective rate between period was primarily impacted by earnings mix and the foreign tax rate differential.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29, 2026, we had $107.0 million of cash and cash equivalents, of which $5.3 million was held by foreign subsidiaries. Excess cash is held in money market funds. The following table summarizes our cash flows provided by (used in) operating, investing and financing activities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580" w:type="dxa"/>
            <w:vAlign w:val="bottom"/>
            <w:gridSpan w:val="7"/>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5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36.7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5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22.4</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9"/>
                <w:szCs w:val="19"/>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 from operations was $36.7 million, a decrease of $4.8 million compared with the prior year. Current year-to-date cash from operations reflects improved cash earnings, while the prior year period benefited from a $17 million reduction in operating assets and liability, including the benefit of extending vendor accounts payable. Cash used in investing activities, which includes capital expenditures to support customer programs and modernization of equipment was $5.7 million year-to-date compared with $4.2 million in the prior year period. Current year cash used in financing activities resulted from the repayment of $7.0 million under the joint venture revolving credit agreement and the payment of $1.4 million for taxes withheld related to the vesting of share-based awards.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29, 2026, no borrowings were outstanding under the $40.0 million Amended &amp; Restated Credit Agreement and $1.0 million was outstanding under the $18.0 million joint venture revolving credit agreement.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2026, ADAC-Strattec LLC entered into an amended and restated revolving credit agreement with BMO Harris N.A. (the "Amended &amp; Restated JV Credit Facility"), which provides for a $10 million asset-based revolving line of credit, subject to a borrowing base, maturing October 2028. The Amended &amp; Restated JV Credit Facility replaces the previous $18.0 million joint venture facility, which was terminated upon the closing of the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revolving credit lines, combined with our existing cash and anticipated operating cash flows will be adequate to meet operating, debt service and capital expenditure funding requirements. In the short-term., cash generated from operations will be reinvested in our business to fund our transformational efforts and growth initiatives.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Working Capital Management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PWC %</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20" w:type="dxa"/>
            <w:vAlign w:val="bottom"/>
          </w:tcPr>
          <w:p>
            <w:pPr>
              <w:spacing w:after="0"/>
              <w:rPr>
                <w:sz w:val="15"/>
                <w:szCs w:val="15"/>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6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primary working capital</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1460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Primary working capital levels at March 29, 2026 are higher than the beginning of the fiscal year, as inventory levels were increased $8.7 million to improve customer deliveries.</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15"/>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 There have been no material changes to the risk factors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29, 2025 filed with the SEC on August 25, 2025.</w:t>
      </w:r>
    </w:p>
    <w:p>
      <w:pPr>
        <w:spacing w:after="0" w:line="302" w:lineRule="exact"/>
        <w:rPr>
          <w:sz w:val="20"/>
          <w:szCs w:val="20"/>
          <w:color w:val="auto"/>
        </w:rPr>
      </w:pPr>
    </w:p>
    <w:p>
      <w:pPr>
        <w:ind w:left="720" w:right="192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initially authorized a stock repurchase program on October 16, 1996. The Board of Directors has periodically increased the number of shares authorized for repurchase under the program, most recently in August 2008. The program currently authorizes the repurchase of up to 3,839,395 shares of our common stock from time to time, directly or through brokers or agents, and has no expiration date. Over the life of the repurchase program through March 29, 2026, a total of 3,655,322 shares have been repurchased at a cost of approximately $136.4 million. Currently 184,073 shares remain available to be repurchased under the program. No shares were repurchased during the nine month period ended March 29, 2026.</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Trading Plans.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29,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u w:val="single" w:color="auto"/>
          <w:color w:val="auto"/>
        </w:rPr>
        <w:t>Exhibit</w:t>
      </w:r>
    </w:p>
    <w:p>
      <w:pPr>
        <w:spacing w:after="0" w:line="34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Rule 13a-14(a) Certification of Jennifer L. Slater,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30537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21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FF"/>
        </w:rPr>
        <w:t>Rule 13a-14(a) Certification of Matthew Pauli,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29165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1655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000" w:hanging="634"/>
        <w:spacing w:after="0"/>
        <w:tabs>
          <w:tab w:leader="none" w:pos="10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18 U.S.C. 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15570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57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Interactive Data Files pursuant to Rule 405 of Regulation S-T. XBRL Instance Document – the</w:t>
      </w:r>
    </w:p>
    <w:p>
      <w:pPr>
        <w:spacing w:after="0" w:line="26" w:lineRule="exact"/>
        <w:rPr>
          <w:sz w:val="20"/>
          <w:szCs w:val="20"/>
          <w:color w:val="auto"/>
        </w:rPr>
      </w:pPr>
    </w:p>
    <w:p>
      <w:pPr>
        <w:ind w:left="1000" w:right="40" w:hanging="675"/>
        <w:spacing w:after="0" w:line="288"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XBRL Instance Document does not appear in the Interactive Data File because its XBRL tags are embedded within the Inline XBRL document.</w:t>
      </w:r>
    </w:p>
    <w:p>
      <w:pPr>
        <w:spacing w:after="0" w:line="172" w:lineRule="exact"/>
        <w:rPr>
          <w:sz w:val="20"/>
          <w:szCs w:val="20"/>
          <w:color w:val="auto"/>
        </w:rPr>
      </w:pPr>
    </w:p>
    <w:p>
      <w:pPr>
        <w:ind w:left="1000" w:hanging="675"/>
        <w:spacing w:after="0" w:line="183" w:lineRule="auto"/>
        <w:tabs>
          <w:tab w:leader="none" w:pos="1000" w:val="left"/>
        </w:tabs>
        <w:numPr>
          <w:ilvl w:val="0"/>
          <w:numId w:val="6"/>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The cover page from the Company’s Quarterly Report on Form 10-Q for the quarter ended March 29, 2026 has been formatted in Inline XBRL.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left="-59" w:right="40"/>
        <w:spacing w:after="0" w:line="298" w:lineRule="auto"/>
        <w:rPr>
          <w:sz w:val="20"/>
          <w:szCs w:val="20"/>
          <w:color w:val="auto"/>
        </w:rPr>
      </w:pPr>
      <w:r>
        <w:rPr>
          <w:rFonts w:ascii="Times New Roman" w:cs="Times New Roman" w:eastAsia="Times New Roman" w:hAnsi="Times New Roman"/>
          <w:sz w:val="16"/>
          <w:szCs w:val="16"/>
          <w:u w:val="single" w:color="auto"/>
          <w:color w:val="auto"/>
        </w:rPr>
        <w:t>If Incorporated by Reference, Documents with Which Exhibit was Previously Filed with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2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1513" w:lineRule="exact"/>
        <w:rPr>
          <w:sz w:val="20"/>
          <w:szCs w:val="20"/>
          <w:color w:val="auto"/>
        </w:rPr>
      </w:pPr>
    </w:p>
    <w:p>
      <w:pPr>
        <w:sectPr>
          <w:pgSz w:w="11900" w:h="16838" w:orient="portrait"/>
          <w:cols w:equalWidth="0" w:num="2">
            <w:col w:w="7360" w:space="160"/>
            <w:col w:w="3700"/>
          </w:cols>
          <w:pgMar w:left="320" w:top="981" w:right="359" w:bottom="1440" w:gutter="0" w:footer="0" w:header="0"/>
          <w:type w:val="continuous"/>
        </w:sectPr>
      </w:pP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80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By:  /s/ Matthew Pauli</w:t>
            </w:r>
          </w:p>
        </w:tc>
      </w:tr>
      <w:tr>
        <w:trPr>
          <w:trHeight w:val="191"/>
        </w:trPr>
        <w:tc>
          <w:tcPr>
            <w:tcW w:w="34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Pauli</w:t>
            </w:r>
          </w:p>
        </w:tc>
      </w:tr>
      <w:tr>
        <w:trPr>
          <w:trHeight w:val="216"/>
        </w:trPr>
        <w:tc>
          <w:tcPr>
            <w:tcW w:w="3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Treasurer</w:t>
            </w:r>
          </w:p>
        </w:tc>
      </w:tr>
      <w:tr>
        <w:trPr>
          <w:trHeight w:val="234"/>
        </w:trPr>
        <w:tc>
          <w:tcPr>
            <w:tcW w:w="3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40" w:type="dxa"/>
            <w:vAlign w:val="bottom"/>
          </w:tcPr>
          <w:p>
            <w:pPr>
              <w:spacing w:after="0"/>
              <w:rPr>
                <w:sz w:val="24"/>
                <w:szCs w:val="24"/>
                <w:color w:val="auto"/>
              </w:rPr>
            </w:pPr>
          </w:p>
        </w:tc>
        <w:tc>
          <w:tcPr>
            <w:tcW w:w="35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23</w:t>
            </w:r>
          </w:p>
        </w:tc>
        <w:tc>
          <w:tcPr>
            <w:tcW w:w="430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0" w:right="10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0" w:right="4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20" w:right="280" w:hanging="512"/>
        <w:spacing w:after="0" w:line="254" w:lineRule="auto"/>
        <w:tabs>
          <w:tab w:leader="none" w:pos="5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0" w:right="14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8, 2026</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Jennifer L.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5074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Jennifer L. Slater,</w:t>
      </w: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Matthew Pauli, certify that:</w:t>
      </w:r>
    </w:p>
    <w:p>
      <w:pPr>
        <w:spacing w:after="0" w:line="22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ind w:left="520" w:right="18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20" w:right="20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20" w:right="38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20" w:right="4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right="420" w:firstLine="8"/>
        <w:spacing w:after="0" w:line="254" w:lineRule="auto"/>
        <w:tabs>
          <w:tab w:leader="none" w:pos="50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20" w:right="140" w:hanging="3"/>
        <w:spacing w:after="0" w:line="295" w:lineRule="auto"/>
        <w:tabs>
          <w:tab w:leader="none" w:pos="1029"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20" w:right="180" w:hanging="3"/>
        <w:spacing w:after="0" w:line="269"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8, 2026</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Matthew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256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Matthew Pauli,</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ind w:left="8580"/>
        <w:spacing w:after="0"/>
        <w:rPr>
          <w:sz w:val="20"/>
          <w:szCs w:val="20"/>
          <w:color w:val="auto"/>
        </w:rPr>
      </w:pPr>
      <w:r>
        <w:rPr>
          <w:rFonts w:ascii="Times New Roman" w:cs="Times New Roman" w:eastAsia="Times New Roman" w:hAnsi="Times New Roman"/>
          <w:sz w:val="20"/>
          <w:szCs w:val="20"/>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March 29, 2026 fully complies with the requirements of Section 13(a) of the Securities Exchange Act of 1934 and information contained in that Form 10-Q fairly presents, in all material respects, the financial condition and results of operations of the Company.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May 8, 2026</w:t>
            </w: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/s/ Jennifer L. Slater</w:t>
            </w:r>
          </w:p>
        </w:tc>
        <w:tc>
          <w:tcPr>
            <w:tcW w:w="300" w:type="dxa"/>
            <w:vAlign w:val="bottom"/>
          </w:tcPr>
          <w:p>
            <w:pPr>
              <w:spacing w:after="0"/>
              <w:rPr>
                <w:sz w:val="19"/>
                <w:szCs w:val="19"/>
                <w:color w:val="auto"/>
              </w:rPr>
            </w:pPr>
          </w:p>
        </w:tc>
      </w:tr>
      <w:tr>
        <w:trPr>
          <w:trHeight w:val="227"/>
        </w:trPr>
        <w:tc>
          <w:tcPr>
            <w:tcW w:w="5860" w:type="dxa"/>
            <w:vAlign w:val="bottom"/>
          </w:tcPr>
          <w:p>
            <w:pPr>
              <w:spacing w:after="0"/>
              <w:rPr>
                <w:sz w:val="19"/>
                <w:szCs w:val="19"/>
                <w:color w:val="auto"/>
              </w:rPr>
            </w:pPr>
          </w:p>
        </w:tc>
        <w:tc>
          <w:tcPr>
            <w:tcW w:w="19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15"/>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May 8, 2026</w:t>
            </w: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Matthew Pauli</w:t>
            </w:r>
          </w:p>
        </w:tc>
      </w:tr>
      <w:tr>
        <w:trPr>
          <w:trHeight w:val="227"/>
        </w:trPr>
        <w:tc>
          <w:tcPr>
            <w:tcW w:w="5860" w:type="dxa"/>
            <w:vAlign w:val="bottom"/>
          </w:tcPr>
          <w:p>
            <w:pPr>
              <w:spacing w:after="0"/>
              <w:rPr>
                <w:sz w:val="19"/>
                <w:szCs w:val="19"/>
                <w:color w:val="auto"/>
              </w:rPr>
            </w:pPr>
          </w:p>
        </w:tc>
        <w:tc>
          <w:tcPr>
            <w:tcW w:w="13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Matthew Pauli,</w:t>
            </w:r>
          </w:p>
        </w:tc>
        <w:tc>
          <w:tcPr>
            <w:tcW w:w="520" w:type="dxa"/>
            <w:vAlign w:val="bottom"/>
            <w:gridSpan w:val="2"/>
          </w:tcPr>
          <w:p>
            <w:pPr>
              <w:spacing w:after="0"/>
              <w:rPr>
                <w:sz w:val="19"/>
                <w:szCs w:val="19"/>
                <w:color w:val="auto"/>
              </w:rPr>
            </w:pP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32"/>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04"/>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2026-05-08T12:48:43Z</dcterms:created>
  <dcterms:modified xsi:type="dcterms:W3CDTF">2026-05-08T12:48:43Z</dcterms:modified>
</cp:coreProperties>
</file>