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STRATTEC SECURITY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pPr>
            <w:r>
              <w:rPr/>
              <w:t>1</w:t>
            </w:r>
          </w:p>
        </w:tc>
        <w:tc>
          <w:tcPr>
            <w:tcW w:w="808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20" w:type="dxa"/>
            <w:tcBorders/>
            <w:vAlign w:val="center"/>
          </w:tcPr>
          <w:p>
            <w:pPr>
              <w:pStyle w:val="TableContents"/>
              <w:bidi w:val="0"/>
              <w:spacing w:before="0" w:after="283"/>
              <w:jc w:val="left"/>
              <w:rPr/>
            </w:pPr>
            <w:r>
              <w:rPr/>
              <w:t>2</w:t>
            </w:r>
          </w:p>
        </w:tc>
        <w:tc>
          <w:tcPr>
            <w:tcW w:w="80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0" w:type="dxa"/>
            <w:tcBorders/>
            <w:vAlign w:val="center"/>
          </w:tcPr>
          <w:p>
            <w:pPr>
              <w:pStyle w:val="TableContents"/>
              <w:bidi w:val="0"/>
              <w:spacing w:before="0" w:after="283"/>
              <w:jc w:val="left"/>
              <w:rPr/>
            </w:pPr>
            <w:r>
              <w:rPr/>
              <w:t>3</w:t>
            </w:r>
          </w:p>
        </w:tc>
        <w:tc>
          <w:tcPr>
            <w:tcW w:w="8085" w:type="dxa"/>
            <w:tcBorders/>
            <w:vAlign w:val="center"/>
          </w:tcPr>
          <w:p>
            <w:pPr>
              <w:pStyle w:val="TableContents"/>
              <w:bidi w:val="0"/>
              <w:spacing w:before="0" w:after="283"/>
              <w:jc w:val="left"/>
              <w:rPr/>
            </w:pPr>
            <w:r>
              <w:rPr/>
              <w:t>SEC use only</w:t>
            </w:r>
          </w:p>
        </w:tc>
      </w:tr>
      <w:tr>
        <w:trPr/>
        <w:tc>
          <w:tcPr>
            <w:tcW w:w="2120" w:type="dxa"/>
            <w:tcBorders/>
            <w:vAlign w:val="center"/>
          </w:tcPr>
          <w:p>
            <w:pPr>
              <w:pStyle w:val="TableContents"/>
              <w:bidi w:val="0"/>
              <w:spacing w:before="0" w:after="283"/>
              <w:jc w:val="left"/>
              <w:rPr/>
            </w:pPr>
            <w:r>
              <w:rPr/>
              <w:t>4</w:t>
            </w:r>
          </w:p>
        </w:tc>
        <w:tc>
          <w:tcPr>
            <w:tcW w:w="808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0" w:type="dxa"/>
            <w:tcBorders/>
            <w:vAlign w:val="center"/>
          </w:tcPr>
          <w:p>
            <w:pPr>
              <w:pStyle w:val="TableContents"/>
              <w:bidi w:val="0"/>
              <w:spacing w:before="0" w:after="283"/>
              <w:jc w:val="left"/>
              <w:rPr/>
            </w:pPr>
            <w:r>
              <w:rPr/>
              <w:t>5</w:t>
            </w:r>
          </w:p>
        </w:tc>
        <w:tc>
          <w:tcPr>
            <w:tcW w:w="808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6</w:t>
            </w:r>
          </w:p>
        </w:tc>
        <w:tc>
          <w:tcPr>
            <w:tcW w:w="80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11</w:t>
            </w:r>
          </w:p>
        </w:tc>
        <w:tc>
          <w:tcPr>
            <w:tcW w:w="80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0" w:type="dxa"/>
            <w:tcBorders/>
            <w:vAlign w:val="center"/>
          </w:tcPr>
          <w:p>
            <w:pPr>
              <w:pStyle w:val="TableContents"/>
              <w:bidi w:val="0"/>
              <w:spacing w:before="0" w:after="283"/>
              <w:jc w:val="left"/>
              <w:rPr/>
            </w:pPr>
            <w:r>
              <w:rPr/>
              <w:t>12</w:t>
            </w:r>
          </w:p>
        </w:tc>
        <w:tc>
          <w:tcPr>
            <w:tcW w:w="808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13</w:t>
            </w:r>
          </w:p>
        </w:tc>
        <w:tc>
          <w:tcPr>
            <w:tcW w:w="808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0" w:type="dxa"/>
            <w:tcBorders/>
            <w:vAlign w:val="center"/>
          </w:tcPr>
          <w:p>
            <w:pPr>
              <w:pStyle w:val="TableContents"/>
              <w:bidi w:val="0"/>
              <w:spacing w:before="0" w:after="283"/>
              <w:jc w:val="left"/>
              <w:rPr/>
            </w:pPr>
            <w:r>
              <w:rPr/>
              <w:t>14</w:t>
            </w:r>
          </w:p>
        </w:tc>
        <w:tc>
          <w:tcPr>
            <w:tcW w:w="80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254,300.00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254,300.00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254,300.00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505,479.00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510,979.00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510,979.00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12.8 %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04"/>
        <w:gridCol w:w="8101"/>
      </w:tblGrid>
      <w:tr>
        <w:trPr/>
        <w:tc>
          <w:tcPr>
            <w:tcW w:w="2104" w:type="dxa"/>
            <w:tcBorders/>
            <w:vAlign w:val="center"/>
          </w:tcPr>
          <w:p>
            <w:pPr>
              <w:pStyle w:val="TableContents"/>
              <w:bidi w:val="0"/>
              <w:spacing w:before="0" w:after="283"/>
              <w:jc w:val="left"/>
              <w:rPr/>
            </w:pPr>
            <w:r>
              <w:rPr/>
              <w:t>1</w:t>
            </w:r>
          </w:p>
        </w:tc>
        <w:tc>
          <w:tcPr>
            <w:tcW w:w="810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FOUNDATION, INC.</w:t>
            </w:r>
          </w:p>
        </w:tc>
      </w:tr>
      <w:tr>
        <w:trPr/>
        <w:tc>
          <w:tcPr>
            <w:tcW w:w="2104" w:type="dxa"/>
            <w:tcBorders/>
            <w:vAlign w:val="center"/>
          </w:tcPr>
          <w:p>
            <w:pPr>
              <w:pStyle w:val="TableContents"/>
              <w:bidi w:val="0"/>
              <w:spacing w:before="0" w:after="283"/>
              <w:jc w:val="left"/>
              <w:rPr/>
            </w:pPr>
            <w:r>
              <w:rPr/>
              <w:t>2</w:t>
            </w:r>
          </w:p>
        </w:tc>
        <w:tc>
          <w:tcPr>
            <w:tcW w:w="810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04" w:type="dxa"/>
            <w:tcBorders/>
            <w:vAlign w:val="center"/>
          </w:tcPr>
          <w:p>
            <w:pPr>
              <w:pStyle w:val="TableContents"/>
              <w:bidi w:val="0"/>
              <w:spacing w:before="0" w:after="283"/>
              <w:jc w:val="left"/>
              <w:rPr/>
            </w:pPr>
            <w:r>
              <w:rPr/>
              <w:t>3</w:t>
            </w:r>
          </w:p>
        </w:tc>
        <w:tc>
          <w:tcPr>
            <w:tcW w:w="8101" w:type="dxa"/>
            <w:tcBorders/>
            <w:vAlign w:val="center"/>
          </w:tcPr>
          <w:p>
            <w:pPr>
              <w:pStyle w:val="TableContents"/>
              <w:bidi w:val="0"/>
              <w:spacing w:before="0" w:after="283"/>
              <w:jc w:val="left"/>
              <w:rPr/>
            </w:pPr>
            <w:r>
              <w:rPr/>
              <w:t>SEC use only</w:t>
            </w:r>
          </w:p>
        </w:tc>
      </w:tr>
      <w:tr>
        <w:trPr/>
        <w:tc>
          <w:tcPr>
            <w:tcW w:w="2104" w:type="dxa"/>
            <w:tcBorders/>
            <w:vAlign w:val="center"/>
          </w:tcPr>
          <w:p>
            <w:pPr>
              <w:pStyle w:val="TableContents"/>
              <w:bidi w:val="0"/>
              <w:spacing w:before="0" w:after="283"/>
              <w:jc w:val="left"/>
              <w:rPr/>
            </w:pPr>
            <w:r>
              <w:rPr/>
              <w:t>4</w:t>
            </w:r>
          </w:p>
        </w:tc>
        <w:tc>
          <w:tcPr>
            <w:tcW w:w="810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4" w:type="dxa"/>
            <w:tcBorders/>
            <w:vAlign w:val="center"/>
          </w:tcPr>
          <w:p>
            <w:pPr>
              <w:pStyle w:val="TableContents"/>
              <w:bidi w:val="0"/>
              <w:spacing w:before="0" w:after="283"/>
              <w:jc w:val="left"/>
              <w:rPr/>
            </w:pPr>
            <w:r>
              <w:rPr/>
              <w:t>5</w:t>
            </w:r>
          </w:p>
        </w:tc>
        <w:tc>
          <w:tcPr>
            <w:tcW w:w="810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6</w:t>
            </w:r>
          </w:p>
        </w:tc>
        <w:tc>
          <w:tcPr>
            <w:tcW w:w="810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0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2104" w:type="dxa"/>
            <w:tcBorders/>
            <w:vAlign w:val="center"/>
          </w:tcPr>
          <w:p>
            <w:pPr>
              <w:pStyle w:val="TableContents"/>
              <w:bidi w:val="0"/>
              <w:spacing w:before="0" w:after="283"/>
              <w:jc w:val="left"/>
              <w:rPr/>
            </w:pPr>
            <w:r>
              <w:rPr/>
              <w:t>11</w:t>
            </w:r>
          </w:p>
        </w:tc>
        <w:tc>
          <w:tcPr>
            <w:tcW w:w="810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2,200.00</w:t>
            </w:r>
          </w:p>
        </w:tc>
      </w:tr>
      <w:tr>
        <w:trPr/>
        <w:tc>
          <w:tcPr>
            <w:tcW w:w="2104" w:type="dxa"/>
            <w:tcBorders/>
            <w:vAlign w:val="center"/>
          </w:tcPr>
          <w:p>
            <w:pPr>
              <w:pStyle w:val="TableContents"/>
              <w:bidi w:val="0"/>
              <w:spacing w:before="0" w:after="283"/>
              <w:jc w:val="left"/>
              <w:rPr/>
            </w:pPr>
            <w:r>
              <w:rPr/>
              <w:t>12</w:t>
            </w:r>
          </w:p>
        </w:tc>
        <w:tc>
          <w:tcPr>
            <w:tcW w:w="810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13</w:t>
            </w:r>
          </w:p>
        </w:tc>
        <w:tc>
          <w:tcPr>
            <w:tcW w:w="810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04" w:type="dxa"/>
            <w:tcBorders/>
            <w:vAlign w:val="center"/>
          </w:tcPr>
          <w:p>
            <w:pPr>
              <w:pStyle w:val="TableContents"/>
              <w:bidi w:val="0"/>
              <w:spacing w:before="0" w:after="283"/>
              <w:jc w:val="left"/>
              <w:rPr/>
            </w:pPr>
            <w:r>
              <w:rPr/>
              <w:t>14</w:t>
            </w:r>
          </w:p>
        </w:tc>
        <w:tc>
          <w:tcPr>
            <w:tcW w:w="810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Teton Advisors, LLC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19,300.00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19,300.00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STRATTEC SECURITY CORP</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3333 WEST GOOD HOPE ROAD, 3333 WEST GOOD HOPE ROAD, MILWAUKEE, WISCONSIN , 53209.</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Manager LLC, GAMCO Gabelli Asset Management Company, LLC (GGAM), GAMCO Investors, Inc. (GBL), Associated Capital Group, Inc. (AC), Gabelli Funds, LLC (Gabelli Funds), GAMCO Asset Management Inc. (GAMCO), Teton Advisors, LLC (Teton Advisors), G-Legion, LLC (G-Legion),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 xml:space="preserve">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G-Legion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International Small Cap Fund, The Gabelli Healthcare &amp; Wellness Rx Trust, The Gabelli Global Small and Mid Cap Value Trust, The Gabelli Global Financial Services Fund, The Gabelli Global Mini Mites Fund, The Gabelli Media Mogul Fund, The Gabelli Pet Parents Fund, Keeley Small Cap Fund, Keeley Gabelli Small Cap Dividend Fund, Keeley Gabelli Mid Cap Dividend Fund, Keeley Gabelli SMID Cap Value Fund The Gabelli U.S. Treasury Money Market Fund, Bancroft Fund Ltd., Ellsworth Growth &amp; Income Fund Ltd., Gabelli Merchant Partners plc, Gabelli Growth Innovators ETF, Gabelli Love Our Planet &amp; People ETF, Gabelli Commercial Aerospace &amp; Defense ETF, Gabelli Financial Services Opportunities ETF, Gabelli Global Technology Leaders ETF, Gabelli High Income ETF, Gabelli Opportunities in Live Sport ETF, Keeley Dividend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G-Legion, an investment adviser registered under the Advisers Act, provides discretionary advisory services to The TETON Convertible Securities Fund. This fund is sub advised by Gabelli Funds, and their holdings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co-Chief Executive Officer of GGAM, board member and majority member of GAMCO Investors Manager, LLC and Chairman and Chief Executive Officer of GBL. He is the Executive Chairman of AC. Mario Gabelli is also a member of GGCP Holdings. Mario Gabelli is the controlling shareholder of MGH and indirectly of Teton Advisors and G-Legion.</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 xml:space="preserve">United States. </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The aggregate number of Securities to which this Schedule 13D relates is 786,779 shares, representing 19.74% of the 3,985,013 shares outstanding as reported in the Issuer's most recently filed Form 10K for the fiscal year ended June 28, 2026. This Amendment is being filed to reflect an increase in ownership percentage held by the Reporting Persons which is due solely to a decrease in the Issuer's shares outstanding filed in the Issuer's Form 10K on August 28, 2026.The Reporting Persons beneficially own those Securities as follows: GAMCO 510,979 shares 12.82%, Gabelli Funds 254,300 shares 6.38%, Foundation 2,200 shares 0.06% and Teton 19,300 shares 0.48%.</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5,500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GAMCO ASSET MANAGEMENT INC. 8/25/2026 -500 78.1500 8/24/2026 -10 76.7001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DAVID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CHIEF LEGAL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GABELLI FOUNDATION, INC.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Teton Advisors,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1"/>
        <w:gridCol w:w="4214"/>
      </w:tblGrid>
      <w:tr>
        <w:trPr/>
        <w:tc>
          <w:tcPr>
            <w:tcW w:w="59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DAVID GOLDMAN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COUNSEL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14"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3296</Words>
  <Characters>17501</Characters>
  <CharactersWithSpaces>20595</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