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6"/>
        </w:rPr>
      </w:pPr>
      <w:bookmarkStart w:id="0" w:name="strt-20260628.htm"/>
      <w:bookmarkStart w:id="1" w:name="ksstrt20260628"/>
      <w:bookmarkEnd w:id="0"/>
      <w:bookmarkEnd w:id="1"/>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FORM 10-K</w:t>
      </w:r>
    </w:p>
    <w:p>
      <w:pPr>
        <w:pStyle w:val="TextBody"/>
        <w:bidi w:val="0"/>
        <w:spacing w:before="40" w:after="283"/>
        <w:jc w:val="left"/>
        <w:rPr/>
      </w:pPr>
      <w:r>
        <w:rPr>
          <w:color w:val="000000"/>
        </w:rPr>
        <w:t xml:space="preserve">☒ </w:t>
      </w:r>
      <w:r>
        <w:rPr>
          <w:rFonts w:ascii="Times New Roman" w:hAnsi="Times New Roman"/>
          <w:b/>
          <w:color w:val="000000"/>
          <w:sz w:val="18"/>
        </w:rPr>
        <w:t>Annual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 the fiscal year ended June 28, 2026.</w:t>
      </w:r>
    </w:p>
    <w:p>
      <w:pPr>
        <w:pStyle w:val="TextBody"/>
        <w:bidi w:val="0"/>
        <w:spacing w:before="4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Commission File Number 0-25150</w:t>
      </w:r>
    </w:p>
    <w:p>
      <w:pPr>
        <w:pStyle w:val="TextBody"/>
        <w:bidi w:val="0"/>
        <w:jc w:val="center"/>
        <w:rPr>
          <w:rFonts w:ascii="Times New Roman" w:hAnsi="Times New Roman"/>
          <w:b/>
          <w:color w:val="000000"/>
          <w:sz w:val="26"/>
        </w:rPr>
      </w:pPr>
      <w:r>
        <w:rPr>
          <w:rFonts w:ascii="Times New Roman" w:hAnsi="Times New Roman"/>
          <w:b/>
          <w:color w:val="000000"/>
          <w:sz w:val="26"/>
        </w:rPr>
        <w:t>STRATTEC SECURITY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768" w:type="dxa"/>
        <w:jc w:val="left"/>
        <w:tblInd w:w="0" w:type="dxa"/>
        <w:tblLayout w:type="fixed"/>
        <w:tblCellMar>
          <w:top w:w="28" w:type="dxa"/>
          <w:left w:w="28" w:type="dxa"/>
          <w:bottom w:w="28" w:type="dxa"/>
          <w:right w:w="28" w:type="dxa"/>
        </w:tblCellMar>
      </w:tblPr>
      <w:tblGrid>
        <w:gridCol w:w="1876"/>
        <w:gridCol w:w="146"/>
        <w:gridCol w:w="274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39-1804239</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spacing w:before="60" w:after="283"/>
        <w:jc w:val="center"/>
        <w:rPr>
          <w:rFonts w:ascii="Times New Roman" w:hAnsi="Times New Roman"/>
          <w:sz w:val="20"/>
        </w:rPr>
      </w:pPr>
      <w:r>
        <w:rPr>
          <w:rFonts w:ascii="Times New Roman" w:hAnsi="Times New Roman"/>
          <w:b/>
          <w:color w:val="000000"/>
          <w:sz w:val="18"/>
          <w:u w:val="single"/>
        </w:rPr>
        <w:t>3333 West Good Hope Road, Milwaukee, WI</w:t>
      </w:r>
      <w:r>
        <w:rPr>
          <w:rFonts w:ascii="Times New Roman" w:hAnsi="Times New Roman"/>
          <w:color w:val="000000"/>
          <w:sz w:val="20"/>
          <w:u w:val="single"/>
        </w:rPr>
        <w:t xml:space="preserve"> </w:t>
      </w:r>
      <w:r>
        <w:rPr>
          <w:rFonts w:ascii="Times New Roman" w:hAnsi="Times New Roman"/>
          <w:b/>
          <w:color w:val="000000"/>
          <w:sz w:val="18"/>
          <w:u w:val="single"/>
        </w:rPr>
        <w:t>53209</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120" w:after="283"/>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r>
        <w:rPr>
          <w:rFonts w:ascii="Times New Roman" w:hAnsi="Times New Roman"/>
          <w:b/>
          <w:color w:val="000000"/>
          <w:sz w:val="18"/>
          <w:u w:val="single"/>
        </w:rPr>
        <w:t>(414) 247-3333</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7094" w:type="dxa"/>
        <w:jc w:val="left"/>
        <w:tblInd w:w="0" w:type="dxa"/>
        <w:tblLayout w:type="fixed"/>
        <w:tblCellMar>
          <w:top w:w="28" w:type="dxa"/>
          <w:left w:w="28" w:type="dxa"/>
          <w:bottom w:w="28" w:type="dxa"/>
          <w:right w:w="28" w:type="dxa"/>
        </w:tblCellMar>
      </w:tblPr>
      <w:tblGrid>
        <w:gridCol w:w="2491"/>
        <w:gridCol w:w="146"/>
        <w:gridCol w:w="1366"/>
        <w:gridCol w:w="30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Trading Symbol</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 of exchange on which registered</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STRT</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if the registrant is a well-known seasoned issuer, as defined in Rule 405 of the Securities Act. ☐Yes ☒No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if the registrant is not required to file reports pursuant to Section 13 or Section 15(d) of the Act. ☐Yes ☒No</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8"/>
        </w:rPr>
        <w:t>No</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8"/>
        </w:rPr>
        <w:t>No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2056"/>
        <w:gridCol w:w="109"/>
        <w:gridCol w:w="316"/>
        <w:gridCol w:w="109"/>
        <w:gridCol w:w="2131"/>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w:t>
      </w:r>
      <w:r>
        <w:rPr>
          <w:rFonts w:ascii="Times New Roman" w:hAnsi="Times New Roman"/>
          <w:color w:val="000000"/>
          <w:sz w:val="18"/>
        </w:rPr>
        <w:t>No</w:t>
      </w:r>
    </w:p>
    <w:p>
      <w:pPr>
        <w:pStyle w:val="TextBody"/>
        <w:bidi w:val="0"/>
        <w:spacing w:before="120" w:after="283"/>
        <w:jc w:val="left"/>
        <w:rPr>
          <w:rFonts w:ascii="Times New Roman" w:hAnsi="Times New Roman"/>
          <w:sz w:val="20"/>
        </w:rPr>
      </w:pPr>
      <w:r>
        <w:rPr>
          <w:rFonts w:ascii="Times New Roman" w:hAnsi="Times New Roman"/>
          <w:color w:val="000000"/>
          <w:sz w:val="18"/>
        </w:rPr>
        <w:t>The aggregate market value of the voting Common Stock held by non-affiliates of the registrant as of December 26, 2025 (the last business day of the Registrant’s most recently completed second quarter), was approximately $252,730,981</w:t>
      </w:r>
      <w:r>
        <w:rPr>
          <w:rFonts w:ascii="Times New Roman" w:hAnsi="Times New Roman"/>
          <w:color w:val="000000"/>
          <w:sz w:val="20"/>
        </w:rPr>
        <w:t xml:space="preserve"> </w:t>
      </w:r>
      <w:r>
        <w:rPr>
          <w:rFonts w:ascii="Times New Roman" w:hAnsi="Times New Roman"/>
          <w:color w:val="000000"/>
          <w:sz w:val="18"/>
        </w:rPr>
        <w:t>(based upon the last reported sale price of the Common Stock at December 26, 2025 on the Nasdaq Global Market).</w:t>
      </w:r>
    </w:p>
    <w:p>
      <w:pPr>
        <w:pStyle w:val="TextBody"/>
        <w:bidi w:val="0"/>
        <w:spacing w:before="120" w:after="283"/>
        <w:jc w:val="left"/>
        <w:rPr>
          <w:rFonts w:ascii="Times New Roman" w:hAnsi="Times New Roman"/>
          <w:sz w:val="20"/>
        </w:rPr>
      </w:pPr>
      <w:r>
        <w:rPr>
          <w:rFonts w:ascii="Times New Roman" w:hAnsi="Times New Roman"/>
          <w:color w:val="000000"/>
          <w:sz w:val="18"/>
        </w:rPr>
        <w:t>On July 31, 2026, there were outstanding 3,985,013</w:t>
      </w:r>
      <w:r>
        <w:rPr>
          <w:rFonts w:ascii="Times New Roman" w:hAnsi="Times New Roman"/>
          <w:color w:val="000000"/>
          <w:sz w:val="20"/>
        </w:rPr>
        <w:t xml:space="preserve"> </w:t>
      </w:r>
      <w:r>
        <w:rPr>
          <w:rFonts w:ascii="Times New Roman" w:hAnsi="Times New Roman"/>
          <w:color w:val="000000"/>
          <w:sz w:val="18"/>
        </w:rPr>
        <w:t>shares of the Registrant’s $.01 par value Common Stock (which includes any unvested restricted shares previously awarded).</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Part III of this report incorporates information by reference from Registrant's Proxy Statement for the annual meeting of its shareholders to be held on October 13,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STRATTEC SECURITY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June 28,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6"/>
        <w:gridCol w:w="146"/>
        <w:gridCol w:w="8581"/>
        <w:gridCol w:w="572"/>
      </w:tblGrid>
      <w:tr>
        <w:trPr/>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color w:val="0000FF"/>
                  <w:sz w:val="20"/>
                  <w:u w:val="single"/>
                </w:rPr>
                <w:t>PART 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aps/>
                  <w:color w:val="0000FF"/>
                  <w:sz w:val="20"/>
                  <w:u w:val="single"/>
                </w:rPr>
                <w:t>U</w:t>
              </w:r>
            </w:hyperlink>
            <w:hyperlink w:anchor="item_1b_unresolved_staff_comments">
              <w:r>
                <w:rPr>
                  <w:rStyle w:val="InternetLink"/>
                  <w:rFonts w:ascii="Times New Roman" w:hAnsi="Times New Roman"/>
                  <w:color w:val="0000FF"/>
                  <w:sz w:val="20"/>
                  <w:u w:val="single"/>
                </w:rPr>
                <w:t>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aps/>
                  <w:color w:val="0000FF"/>
                  <w:sz w:val="20"/>
                  <w:u w:val="single"/>
                </w:rPr>
                <w:t>C</w:t>
              </w:r>
            </w:hyperlink>
            <w:hyperlink w:anchor="item_1c_cybersecurity">
              <w:r>
                <w:rPr>
                  <w:rStyle w:val="InternetLink"/>
                  <w:rFonts w:ascii="Times New Roman" w:hAnsi="Times New Roman"/>
                  <w:color w:val="0000FF"/>
                  <w:sz w:val="20"/>
                  <w:u w:val="single"/>
                </w:rPr>
                <w:t>ybersecurity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2__properties">
              <w:r>
                <w:rPr>
                  <w:rStyle w:val="InternetLink"/>
                  <w:rFonts w:ascii="Times New Roman" w:hAnsi="Times New Roman"/>
                  <w:color w:val="0000FF"/>
                  <w:sz w:val="20"/>
                  <w:u w:val="single"/>
                </w:rPr>
                <w:t>Properties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aps/>
                  <w:color w:val="0000FF"/>
                  <w:sz w:val="20"/>
                  <w:u w:val="single"/>
                </w:rPr>
                <w:t>M</w:t>
              </w:r>
            </w:hyperlink>
            <w:hyperlink w:anchor="item_4_mine_safety_disclosures">
              <w:r>
                <w:rPr>
                  <w:rStyle w:val="InternetLink"/>
                  <w:rFonts w:ascii="Times New Roman" w:hAnsi="Times New Roman"/>
                  <w:color w:val="0000FF"/>
                  <w:sz w:val="20"/>
                  <w:u w:val="single"/>
                </w:rPr>
                <w:t>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color w:val="0000FF"/>
                  <w:sz w:val="20"/>
                  <w:u w:val="single"/>
                </w:rPr>
                <w:t>PART II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5__market_for_registrants_common_eq">
              <w:r>
                <w:rPr>
                  <w:rStyle w:val="InternetLink"/>
                  <w:rFonts w:ascii="Times New Roman" w:hAnsi="Times New Roman"/>
                  <w:caps/>
                  <w:color w:val="0000FF"/>
                  <w:sz w:val="20"/>
                  <w:u w:val="single"/>
                </w:rPr>
                <w:t>M</w:t>
              </w:r>
            </w:hyperlink>
            <w:hyperlink w:anchor="item_5__market_for_registrants_common_eq">
              <w:r>
                <w:rPr>
                  <w:rStyle w:val="InternetLink"/>
                  <w:rFonts w:ascii="Times New Roman" w:hAnsi="Times New Roman"/>
                  <w:color w:val="0000FF"/>
                  <w:sz w:val="20"/>
                  <w:u w:val="single"/>
                </w:rPr>
                <w:t>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6__selected_financial_data">
              <w:r>
                <w:rPr>
                  <w:rStyle w:val="InternetLink"/>
                  <w:rFonts w:ascii="Times New Roman" w:hAnsi="Times New Roman"/>
                  <w:caps/>
                  <w:color w:val="0000FF"/>
                  <w:sz w:val="20"/>
                  <w:u w:val="single"/>
                </w:rPr>
                <w:t>[R</w:t>
              </w:r>
            </w:hyperlink>
            <w:hyperlink w:anchor="item_6__selected_financial_data">
              <w:r>
                <w:rPr>
                  <w:rStyle w:val="InternetLink"/>
                  <w:rFonts w:ascii="Times New Roman" w:hAnsi="Times New Roman"/>
                  <w:color w:val="0000FF"/>
                  <w:sz w:val="20"/>
                  <w:u w:val="single"/>
                </w:rPr>
                <w:t>eserved</w:t>
              </w:r>
            </w:hyperlink>
            <w:hyperlink w:anchor="item_6__selected_financial_data">
              <w:r>
                <w:rPr>
                  <w:rStyle w:val="InternetLink"/>
                  <w:rFonts w:ascii="Times New Roman" w:hAnsi="Times New Roman"/>
                  <w:caps/>
                  <w:color w:val="0000FF"/>
                  <w:sz w:val="20"/>
                  <w:u w:val="single"/>
                </w:rPr>
                <w:t>]</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7__managements_discussion_analysis_">
              <w:r>
                <w:rPr>
                  <w:rStyle w:val="InternetLink"/>
                  <w:rFonts w:ascii="Times New Roman" w:hAnsi="Times New Roman"/>
                  <w:caps/>
                  <w:color w:val="0000FF"/>
                  <w:sz w:val="20"/>
                  <w:u w:val="single"/>
                </w:rPr>
                <w:t>M</w:t>
              </w:r>
            </w:hyperlink>
            <w:hyperlink w:anchor="item_7__managements_discussion_analysis_">
              <w:r>
                <w:rPr>
                  <w:rStyle w:val="InternetLink"/>
                  <w:rFonts w:ascii="Times New Roman" w:hAnsi="Times New Roman"/>
                  <w:color w:val="0000FF"/>
                  <w:sz w:val="20"/>
                  <w:u w:val="single"/>
                </w:rPr>
                <w:t>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7a__quantitative_qualitative_disclo">
              <w:r>
                <w:rPr>
                  <w:rStyle w:val="InternetLink"/>
                  <w:rFonts w:ascii="Times New Roman" w:hAnsi="Times New Roman"/>
                  <w:caps/>
                  <w:color w:val="0000FF"/>
                  <w:sz w:val="20"/>
                  <w:u w:val="single"/>
                </w:rPr>
                <w:t>Q</w:t>
              </w:r>
            </w:hyperlink>
            <w:hyperlink w:anchor="item_7a__quantitative_qualitative_disclo">
              <w:r>
                <w:rPr>
                  <w:rStyle w:val="InternetLink"/>
                  <w:rFonts w:ascii="Times New Roman" w:hAnsi="Times New Roman"/>
                  <w:color w:val="0000FF"/>
                  <w:sz w:val="20"/>
                  <w:u w:val="single"/>
                </w:rPr>
                <w:t>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8__financial_statements_supplementa">
              <w:r>
                <w:rPr>
                  <w:rStyle w:val="InternetLink"/>
                  <w:rFonts w:ascii="Times New Roman" w:hAnsi="Times New Roman"/>
                  <w:caps/>
                  <w:color w:val="0000FF"/>
                  <w:sz w:val="20"/>
                  <w:u w:val="single"/>
                </w:rPr>
                <w:t>F</w:t>
              </w:r>
            </w:hyperlink>
            <w:hyperlink w:anchor="item_8__financial_statements_supplementa">
              <w:r>
                <w:rPr>
                  <w:rStyle w:val="InternetLink"/>
                  <w:rFonts w:ascii="Times New Roman" w:hAnsi="Times New Roman"/>
                  <w:color w:val="0000FF"/>
                  <w:sz w:val="20"/>
                  <w:u w:val="single"/>
                </w:rPr>
                <w:t>inancial Statements and Supplementary Data</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__changes_in_disagreements_with_ac">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9c_disclosures_regarding_foreign_ju">
              <w:r>
                <w:rPr>
                  <w:rStyle w:val="InternetLink"/>
                  <w:rFonts w:ascii="Times New Roman" w:hAnsi="Times New Roman"/>
                  <w:color w:val="0000FF"/>
                  <w:sz w:val="20"/>
                  <w:u w:val="single"/>
                </w:rPr>
                <w:t>Disclosure Regarding Foreign Jurisdictions that Prevent Inspections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color w:val="0000FF"/>
                  <w:sz w:val="20"/>
                  <w:u w:val="single"/>
                </w:rPr>
                <w:t>PART III</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Principal Accounting Fees and Services</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caps/>
                  <w:color w:val="0000FF"/>
                  <w:sz w:val="20"/>
                  <w:u w:val="single"/>
                </w:rPr>
                <w:t>PART IV</w:t>
              </w:r>
            </w:hyperlink>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schedule_ii">
              <w:r>
                <w:rPr>
                  <w:rStyle w:val="InternetLink"/>
                  <w:rFonts w:ascii="Times New Roman" w:hAnsi="Times New Roman"/>
                  <w:color w:val="0000FF"/>
                  <w:sz w:val="20"/>
                  <w:u w:val="single"/>
                </w:rPr>
                <w:t>Schedule II</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00" w:after="283"/>
        <w:jc w:val="left"/>
        <w:rPr/>
      </w:pPr>
      <w:r>
        <w:rP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 this Annual Report on Form 10-K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The Company’s operations and financial performance are subject to certain risks and uncertainties, including: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uncertain economic environment and inflationary conditions coupled with cyclical nature of the automotive industry may adversely affect global production and demand for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macroeconomic and geopolitical conditions, including regional conflicts, could adversely affect our business, results of operations, and financial condition;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tariffs or international trade policies could adversely affect our results, particularly with respect to goods imported into the United States or produced under U.S. trade agreements such as the USMCA;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delays, restrictions impacting the import of goods, and components stemming from changes in policies implemented by the U.S. Government related to U.S.-Mexico border crossings could have a negative effect on our business;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relatively smaller scale compared to many automotive suppliers may limit our ability to compete effectively and could adversely affect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significant portion of our net sales is derived from a limited number of customers and vehicle programs, and the loss, cancellation, delay, or reduction, of key customer relationships or vehicle programs could materially adversely affect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operate in a highly competitive market with potential increased competition from Chinese automotive suppliers and rapidly evolving technological developments within our sphere of product offerings;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manage changes in the costs of operations, warranty claims, or adverse business and operational issues could be affected by a material global supply chain and logistics disruption;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labor cost inflation or unionization efforts in Mexico, coupled with a shortage of skilled laborers in the United States, could increase our manufacturing expenses and impact production efficiency;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work stoppages within our operations or at the location of our key customers as a result of labor disputes could adversely impact our business, results of operations, and financial condition;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 increase in the volume and scope of product returns, warranty claims, or customer cost reimbursement actions could adversely impact our business, results of operations, and financial condition;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interruptions to our information security management systems and cybersecurity incidents could adversely affect our business, results of operations, and financial condition;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matters including, but not limited to, the factors listed in the “Risk Factors” in Part I, Item 1A of this Annual Report on Form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10-K and the Company undertakes no obligation to update such forward-looking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4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Strattec is a global automotive access company that designs and delivers safe, secure, and highly engineered access solutions for the automotive and mobility markets. Built on generations of access and security engineering expertise, we partner closely with OEMs to create differentiated, system level access experiences for end consumers. Our product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 While primarily focused on key North American automotive original equipment manufacturers (“OEM”), we also provide our products globally to customers in both OEM and aftermarket channels. We believe that our engineering expertise, ability to deliver customized solutions and our quality and delivery performance are key advantages that differentiate the Company from its competitors and allow us to be a premier partner to our customers.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automotive vehicle security and safety demands continue to strengthen, our product portfolio is well positioned to meet our customers’ evolving needs. Our product offerings primarily relate to vehicle permission, motion and hold functionality.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Products that securely authorize vehicle entry and use (Permission) include mechanical, electronically enhanced locks and keys, fobs, passive entry passive start systems, digital key, steering column and instrument panel ignition lock housings, and related solutions. Our flexible, responsive service, and our deep relationships with our customers have allowed us to deliver these products both directly to our OEM customers and through our differentiated service in the aftermarket channel. We also provide vehicle door handles through our joint venture. These products leverage our deep manufacturing knowledge and understanding of automotive requirements to deliver high quality components, bringing together world-class injection mold and assembly capability with high quality paint processes.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Motion product portfolio, which provides powered access and movement, includes power sliding doors, power tailgates, and lift gate systems, as well as power deck lid systems. The products included in these highly-engineered systems include drivetrain mechanisms and electronic control units. These system offerings work together to provide our customers optimal performance through a deep understanding of mechanical, electrical, and software architectures.</w:t>
      </w:r>
    </w:p>
    <w:p>
      <w:pPr>
        <w:pStyle w:val="TextBody"/>
        <w:bidi w:val="0"/>
        <w:jc w:val="left"/>
        <w:rPr>
          <w:rFonts w:ascii="Times New Roman" w:hAnsi="Times New Roman"/>
          <w:color w:val="000000"/>
          <w:sz w:val="20"/>
        </w:rPr>
      </w:pPr>
      <w:r>
        <w:rPr>
          <w:rFonts w:ascii="Times New Roman" w:hAnsi="Times New Roman"/>
          <w:color w:val="000000"/>
          <w:sz w:val="20"/>
        </w:rPr>
        <w:t>Our patented high-function latches (Hold product portfolio) range from power clinching latches to release latches. Engineered for seamless integration, our latch technologies support diverse vehicle architectures, ranging from basic models to luxury nameplates. Our latches combine advanced mechanical design and integrated electronics to deliver secure, reliable, and precisely engineered closure performance.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All of our products are safety critical and powertrain agnostic and, therefore, are applicable for internal combustion, plug-in/hybrid or electric vehicles. Applications we serve require robust engineering partnership during the vehicle design cycle, which is typically three to five years ahead of start of production. Our engineering team works closely with our customers during the design phase to ensure our products meet specific vehicle platform requirements. Once our products are designed into an application, we are well positioned as the incumbent supplier for the life of the vehicle due to the high degree of customization and vehicle platform certification. We believe this is one of the reasons our products are rarely changed during a platform lifecycle, which typically lasts five to seven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Across our product lines, we have built strong platform and system competencies, including software development. This approach enables us to leverage our software and component technical capabilities to move with speed and agility and provide better package flexibility for easier integration into a variety of platforms for our customers. For example, we have elevated our key fob business with our digital key product, which leverages our system and software capability to meet increasing security, software and packaging architecture needs. Our power access solutions products are designed from a core platform approach that allows us to leverage carry-over components within a system to move faster through the design phase and provide optimal package flexibility while meeting increasing vehicle safety and security needs.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access becomes increasingly intelligent, connected, and central to vehicle performance, our strategy is to expand our market share, further diversify our customers and geographic reach, organically and inorganically, and to create the ultimate access experience for consumers while working toward our vision to be the most trusted, global leader in safe and secure access solutions for the automotive and mobility industries.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work closely with our customers throughout the product development process, providing product design, engineering, testing, validation, manufacturing, and launch support. Customer relationships are generally long-term in nature and are established through early involvement in new vehicle design concepts, which can be more than five years before program launch, and competitive sourcing processes which typically are two to three years prior to launch. Our product mix varies by customer, with most customers sourcing multiple product categories from us. Sales to various OEMs (including Tier 1 suppliers) are approximately 90% of our total sales, while the remainder of our sales are to service channels, the aftermarket, and non-automotive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significant portion of our sales are to General Motors Company, Ford Motor Company, and Stellantis. The products sold to these customers are model specific, fitting only certain defined applications. As such, we are highly dependent on these customers' ability to produce and sell vehicles which utilize our products.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to our customers are coordinated through direct sales personnel and supported by our program managers, application engineers, and other product engineering personnel. In addition, we distribute our components and security products to the automotive aftermarket through authorized wholesale distributors, as well as other marketers and consumers. Our sales are generally based upon purchase orders issued by the OEMs and updated for volume adjustments through production releases. As such, we do not have a firm and definitive backlog of orders. Once awarded to supply products for a particular platform, we typically support those products for the life of the vehicle, which is normally five to seven years, though this term is not guaranteed. When we are the incumbent supplier for a given platform, we believe we will typically serve this customer for the platform life.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Product Engineering Focus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product engineering activities, including research and development, are an essential part of our efforts to develop new or improved innovative products. Our product engineering, including the development of customized customer solutions, is accomplished in both the United States and Mexico. The development of new products, or enhancements to existing products, are the result of collaboration with customers. Our engineers and program managers follow a formalized product development process to streamline development and identify market requirements. Our advanced design and engineering capabilities contribute to the development of innovative and highly engineered products, maintain our technological leadership, and enhance our ability to provide customers with unique customized solutions and products. We specialize in integrated system, mechanical, electrical, and software engineering supported by advanced modeling and testing capabilities that enable us to meet our customers' design and timing requirements.</w:t>
      </w:r>
    </w:p>
    <w:p>
      <w:pPr>
        <w:pStyle w:val="TextBody"/>
        <w:bidi w:val="0"/>
        <w:spacing w:before="0" w:after="240"/>
        <w:jc w:val="both"/>
        <w:rPr>
          <w:rFonts w:ascii="Times New Roman" w:hAnsi="Times New Roman"/>
          <w:sz w:val="20"/>
        </w:rPr>
      </w:pPr>
      <w:r>
        <w:rPr>
          <w:rFonts w:ascii="Times New Roman" w:hAnsi="Times New Roman"/>
          <w:b/>
          <w:color w:val="000000"/>
          <w:sz w:val="20"/>
        </w:rPr>
        <w:t>Patents, Trademarks and Other Intellectual Property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Intellectual property protection, innovation, and the continued development of proprietary technology are important components of our strategy to support customer relationships, maintain competitive differentiation and drive long-term growth. We protect and maintain proprietary technologies, products, processes, software, and manufacturing know-how that support our access products and solutions. We rely on a combination of patents, trademarks, trade names, copyrights, trade secrets, confidential information, proprietary manufacturing processes, non-disclosure agreements, and other intellectual property protections to establish and maintain our competitive position. While we believe our patent portfolio provides competitive advantages in specific applications, no individual patent or group of patents is material to our business as a whole.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market our products under various trademarks, trade names, and service marks, including the Strattec name and related brands. We consider our trademarks and our reputation for quality, engineering excellence, and customer service to be valuable business assets. In addition to formal intellectual property rights, we rely extensively on trade secrets, proprietary technology, technical expertise, manufacturing methods, product specifications, software, and other confidential business information developed through years of experience serving automotive OEM customers.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operate an integrated manufacturing and engineering platform that supports the full product lifecycle, including product development, engineering, tooling, testing, manufacturing, assembly, and customer support. Manufacturing and distribution operations are conducted through six facilities located in the United States and Mexico, which enable us to support global customer production requirements. These facilities perform a range of activities, including component manufacturing, product testing, final assembly, warehousing and distribution. Key manufacturing capabilities include precision metal stamping, zinc die casting, machining, plastic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injection molding, plating and painting, electronics and printed circuit board assembly, automated and manual product assembly and tooling development.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footprint provides operational flexibility and proximity to customer assembly operations. Our manufacturing operations are supported by advanced quality management systems, automation technologies, and operational excellence initiatives intended to improve productivity, enhance product quality, reduce costs, and strengthen customer satisfaction.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Seasonal Nature of the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automotive industry is inherently cyclical and may experience seasonal fluctuations in vehicle production levels due to model changeovers, plant shutdowns, customer production schedules, holidays, and broader economic conditions. As a supplier to automotive OEMs, our sales and operating results are generally correlated with vehicle production volumes of our customers. Historically, automotive production schedules in North America are typically lower in our fiscal second quarter due to holiday shutdowns and may be affected by customer model year changeovers, planned maintenance activities, and other production interruptions. In addition, customer production volumes may fluctuate throughout the year as a result of consumer demand, inventory levels, new vehicle launches, and other market factors.</w:t>
      </w:r>
    </w:p>
    <w:p>
      <w:pPr>
        <w:pStyle w:val="TextBody"/>
        <w:bidi w:val="0"/>
        <w:jc w:val="both"/>
        <w:rPr>
          <w:rFonts w:ascii="Times New Roman" w:hAnsi="Times New Roman"/>
          <w:b/>
          <w:color w:val="000000"/>
          <w:sz w:val="20"/>
        </w:rPr>
      </w:pPr>
      <w:r>
        <w:rPr>
          <w:rFonts w:ascii="Times New Roman" w:hAnsi="Times New Roman"/>
          <w:b/>
          <w:color w:val="000000"/>
          <w:sz w:val="20"/>
        </w:rPr>
        <w:t>Served Customer Vehicles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product solutions can be found on over 90 different customer vehicles, including electric (EV), plug-in/hybrid, and internal combustion engine platforms. Key vehicle platforms include, but are not limited to, the following:</w:t>
      </w:r>
    </w:p>
    <w:p>
      <w:pPr>
        <w:pStyle w:val="TextBody"/>
        <w:bidi w:val="0"/>
        <w:jc w:val="both"/>
        <w:rPr/>
      </w:pPr>
      <w:r>
        <w:rPr/>
        <w:t> </w:t>
      </w:r>
    </w:p>
    <w:tbl>
      <w:tblPr>
        <w:tblW w:w="8875" w:type="dxa"/>
        <w:jc w:val="left"/>
        <w:tblInd w:w="0" w:type="dxa"/>
        <w:tblLayout w:type="fixed"/>
        <w:tblCellMar>
          <w:top w:w="28" w:type="dxa"/>
          <w:left w:w="28" w:type="dxa"/>
          <w:bottom w:w="28" w:type="dxa"/>
          <w:right w:w="28" w:type="dxa"/>
        </w:tblCellMar>
      </w:tblPr>
      <w:tblGrid>
        <w:gridCol w:w="2041"/>
        <w:gridCol w:w="146"/>
        <w:gridCol w:w="3376"/>
        <w:gridCol w:w="146"/>
        <w:gridCol w:w="316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MDX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Corvette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Sierra EV</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RDX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Equinox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Sierra LD &amp; Sierra HD</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Acura ZDX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Equinox EV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Terrain</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DB 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Express 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Yukon &amp; Yukon XL</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DBX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Silverado EV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Odyssey</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Valhalla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Silverado LD &amp; Silverado 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Passport</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Vanquish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Spin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 Prologue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Aston Martin Vantage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Suburban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Staria</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 Q5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Tahoe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Cherokee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BMW i/X-Series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Traverse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Commander</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BMW X7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Trax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Compass</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Buick Enclave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Chrysler Pacifica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Gladiator</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Buick Envision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Chrysler Voyager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Grand Cherokee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Buick Envista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Charger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Meridian</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Celestiq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Durango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Recon</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Dodge Hornet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Wagoneer</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CT5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Amarok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Jeep Wrangler &amp; Wrangler Unlimited</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Bronco Sport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Kia Carnival</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 ESV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Expedition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Aviator</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 IQ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Explorer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Corsair</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Escalade IQL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F-Series &amp; Super Duty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Navigator</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Lyriq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Maverick Pickup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MACK Truck</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Optiq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Mustang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1500 Pickup</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Vistiq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Mustang Mach-E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HD Pickup</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Ranger Pickup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REV Pickup</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Freightliner (38N) Cascadia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Volkswagen Jetta</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Cadillac XT6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Freightliner (M2)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EX90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Blazer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Heavy Truck</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Blazer EV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Canyon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Volvo Polestar 3</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Cobalt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Hummer EV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Chevrolet Colorado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GMC Savana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Raw Material Costs and Availability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source a wide range of materials, components, and subassemblies from a network of global suppliers. Our primary raw materials are high-grade zinc, brass, nickel silver, steel, aluminum, plastic resins, semiconductor chips and other electronics. These materials are generally available from a number of suppliers and are subject to price fluctuations. We believe our sources for raw materials are reliable and adequate for our needs. In the normal course of business, we do not carry substantial inventories of these raw materials in excess of levels reasonably required to meet our near-term production requirements.</w:t>
      </w:r>
    </w:p>
    <w:p>
      <w:pPr>
        <w:pStyle w:val="TextBody"/>
        <w:bidi w:val="0"/>
        <w:spacing w:before="0" w:after="240"/>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compete with domestic and foreign competitors for business based on product design, engineering support, delivery, price, innovation, and aftermarket support. While the number of direct competitors in our product markets is currently relatively small, automotive OEMs actively encourage competition among potential suppliers.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competitors include Aisin, Aumovio, Alpha-Tech, Brose, Edscha, Huf Group, Inteva, JNS Auto Parts, Magna, Marquardt, MinebeaMitsumi, Mitsuba, Novares, Ohi, PHA Automotive, Shin Chang, Stabilus, Tokai-Rika, Ushin, Valeo and WITTE Automotive.</w:t>
      </w:r>
    </w:p>
    <w:p>
      <w:pPr>
        <w:pStyle w:val="TextBody"/>
        <w:bidi w:val="0"/>
        <w:spacing w:before="0" w:after="240"/>
        <w:jc w:val="both"/>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r>
        <w:rPr>
          <w:rFonts w:ascii="Times New Roman" w:hAnsi="Times New Roman"/>
          <w:b/>
          <w:color w:val="000000"/>
          <w:sz w:val="20"/>
        </w:rPr>
        <w:t>Management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employees, coupled with our ability to attract, retain and develop talent, are critical to our business strategy and success. Our human capital strategy centers on cultivating an open, creative work environment and building the skills needed to strengthen our culture and drive innovation and growth. We also focus on developing talent for critical roles and leadership positions, rewarding and supporting associates through competitive compensation and benefits, and promoting the health and safety of our employees. At June 28, 2026, we had 2,654 associates including 395 in the United States, 2,252 in Mexico and 7 in other countries. We have two facilities with union representation, which covers 9.1% of our employees, including our Milwaukee, Wisconsin location (contract expires November 1, 2030) and Leon, Mexico location (contract expires April 12, 2027). In recent years, we have not experienced any significant work slowdowns, stoppages or other labor disruptions.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Executive Officers of Registrant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executive officers at the time of this report, together with their ages, positions, and business experience are below:</w:t>
      </w:r>
    </w:p>
    <w:tbl>
      <w:tblPr>
        <w:tblW w:w="6460" w:type="dxa"/>
        <w:jc w:val="left"/>
        <w:tblInd w:w="0" w:type="dxa"/>
        <w:tblLayout w:type="fixed"/>
        <w:tblCellMar>
          <w:top w:w="28" w:type="dxa"/>
          <w:left w:w="28" w:type="dxa"/>
          <w:bottom w:w="28" w:type="dxa"/>
          <w:right w:w="28" w:type="dxa"/>
        </w:tblCellMar>
      </w:tblPr>
      <w:tblGrid>
        <w:gridCol w:w="1306"/>
        <w:gridCol w:w="146"/>
        <w:gridCol w:w="391"/>
        <w:gridCol w:w="146"/>
        <w:gridCol w:w="447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Slater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Pauli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Chey Varto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Commercial Officer</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Denis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and Secretary</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Jennifer Slater has served as our President and Chief Executive Officer, and as a Director, since July 2024. Prior to joining Strattec, Ms. Slater was Executive Vice President and General Manager, Performance Sensing, of Sensata Technologies, Inc. (NYSE: ST), a global industrial technology company. She also held the positions of Senior Vice President, Automotive &amp; Aftermarket and Vice President and General Manager of Heavy Duty and Off-Road business from September 2022 through March 2023. Prior to her time with Sensata, Ms. Slater held the position of Group Vice President and General Manager, Global OE and Products, at Clarios, LLC from 2019 to September 2022. Ms. Slater serves as a director of Valvoline Inc. (NYSE: VVV), a retail automotive services company; she was first elected in July 2022.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Matthew Pauli has served as our Senior Vice President, Chief Financial Officer since November 2024. He previously served as Chief Financial Officer of CentroMotion, a global manufacturer of highly engineered products serving the transportation and other industrial markets. Earlier in his career, Mr. Pauli held senior finance roles at Enerpac Tool Group (NYSE: EPAC), including Corporate Controller and Chief Accounting Officer, and VP of Finance after starting his career at Ernst &amp; Young.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Chey Varto has served as our Senior Vice President, Chief Commercial Officer since November 2024. She previously served as Chief Commercial Officer at Vayan Group, a leading provider of quality assurance solutions for automotive OEMs. Prior to that, she held leadership roles at Clarios, JD Norman Industries, and GST AutoLeather. She began her career at Lear Corporation where she advanced through roles of increasing responsibility.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James Denis has served as our Senior Vice President, General Counsel and Secretary since December 2025. Prior to joining Strattec, he served as Executive Vice President, General Counsel, Secretary &amp; Chief Compliance Counsel for Enerpac Tool Group (NYSE: EPAC).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Following a judicial clerkship, Mr. Denis entered private practice, most recently as a shareholder with the law firm of Reinhart Boerner Van Deuren s.c., where he was a member of the firm’s Products Liability and Insurance Risk Management Teams.</w:t>
      </w:r>
    </w:p>
    <w:p>
      <w:pPr>
        <w:pStyle w:val="TextBody"/>
        <w:bidi w:val="0"/>
        <w:spacing w:before="0" w:after="240"/>
        <w:jc w:val="both"/>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our corporate website at www.strattec.com and make available, free of charge, our Code of Business Ethics, and reports that we file with the Securities and Exchange Commission. We are not including all the information contained on or made available through our website as a part of, or incorporating such information by reference into, this Annual Report on Form 10-K.</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4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Investors and readers should carefully consider each of the risks, assumptions, uncertainties and other factors described below and elsewhere in this Annual Report, as well as any amendments or updates reflected in subsequent filings with the Securities and Exchange Commission. We believe these risks, assumptions, uncertainties and other factors, individually or in the aggregate, could cause our actual results to differ materially from expected and historical results and could materially and adversely affect our business operations, results of operations, financial condition and liquidity.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Business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Loss of Significant Customers, Vehicle Content, Vehicle Models and Market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generate a significant portion of our net sales from a limited number of North American automotive original equipment manufacturer ("OEM") customers. As a result, our financial performance is significantly influenced by the production volumes, sourcing decisions and strategic priorities of these customers. Changes in vehicle production schedules, consumer demand, platform mix, inventory levels, regulatory requirements, or market conditions affecting our major customers may directly impact demand for our products. In fiscal 2026, our three largest customers, General Motors Company, Ford Motor Company and Stellantis, accounted for 27%, 21% and 16%, respectively, of our annual sales.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Contracts with these customers do not specify a quantity of components to be supplied over the life of the vehicle, typically five to seven years. Components for certain customer models may also be “market tested” annually. The loss of a significant customer, the non-renewal or early cancellation of key vehicle programs, a substantial reduction in purchases by a major customer or adverse changes in customer relationships could result in reduced sales, lower operating margins, underutilization of manufacturing capacity, and increased operating costs. Due to our customer concentration, adverse developments affecting a single significant customer could have a disproportionate impact on our business, financial condition, cash flows, and results of operations. While we continually seek to win new business with our existing customers and diversify our customer base, our efforts may not be successful and, even if successful, may not offset the impact of the loss or reduction in purchases of a significant customer or the non-renewal or early cancellation of a program. In addition, as a result of the relatively long lead times required for some of our products and the time it takes to establish a commercial relationship with new customers, it may be difficult in the short term for us to obtain new sales sufficient to offset a significant decline in sales to existing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make investments in equipment, tooling and assembly lines used exclusively to manufacture products for specific customer programs. This equipment is capitalized and depreciated over the expected useful life of each respective asset. Therefore, the loss of any one of our major customers, the loss of specific vehicle models or the early cancellation of a vehicle model could result in impairment in the value of these assets.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Customer Forecasts and Demand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depends on, and is directly affected by, the dynamics in the automobile industry. Our major customers and many of their suppliers can be significantly impacted by unfavorable global economic and industry conditions. In the past, many of our major customers have instituted production cuts and shuttered plants in light of these unfavorable conditions which adversely impacts demand for our products during these slowdowns and shutdowns. Additional economic slowdowns, global conflicts, pandemics or part supply shortages could result in new production cuts which could have a material adverse effect on our net sales. Furthermore, uncertain economic conditions and inflation may contribute to a reduction in consumer demand, which may reduce vehicle production. The use and consumption of our products fluctuates depending on order forecasts we receive from our customers. These order forecasts can change dramatically from quarter to quarter.</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Cross-border Trade Issues and Tariffs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operations are impacted by international or cross-border trade dynamics, particularly the import and export of products and goods into and out of the United States. The shipping of goods across national borders is often more expensive and complicated than domestic shipping. Customs and duty procedures and reviews, including duty-free thresholds in various key markets, the application of tariffs, and security-related governmental processes at international borders, may increase costs, discourage cross-border purchases, delay transit and create shipping uncertainties. The imposition of non-tariff barriers, including localized content rules and government procurement restrictions, may further limit our ability to operate efficiently across borders.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manufacture a vast majority of our products in Mexico and rely on a global supply chain to provide raw materials and components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that we need to manufacture our products. Our business benefits from certain free trade agreements, such as the United States-Mexico-Canada Agreement ("USMCA"). However, recent shifts in trade policy have resulted in new or higher tariffs on goods imported from numerous countries, and some countries have imposed retaliatory tariffs on imports from the United States, which has created meaningful uncertainty. These changes may result in significantly increased production costs, pricing volatility and administrative complexity in determining country-of-origin compliance for automotive components. </w:t>
      </w:r>
    </w:p>
    <w:p>
      <w:pPr>
        <w:pStyle w:val="TextBody"/>
        <w:bidi w:val="0"/>
        <w:jc w:val="both"/>
        <w:rPr>
          <w:rFonts w:ascii="Times New Roman" w:hAnsi="Times New Roman"/>
          <w:color w:val="000000"/>
          <w:sz w:val="20"/>
        </w:rPr>
      </w:pPr>
      <w:r>
        <w:rPr>
          <w:rFonts w:ascii="Times New Roman" w:hAnsi="Times New Roman"/>
          <w:color w:val="000000"/>
          <w:sz w:val="20"/>
        </w:rPr>
        <w:t>In addition to potential changes in customs duties and tariffs in the United States and other countries, the future terms of the USMCA remain uncertain following the July 2026 joint review process. Although the USMCA remains in effect, the United States did not agree to extend the agreement in its current form. There can be no assurance that future negotiations will preserve the current terms of the agreement or that any modifications to the USMCA, including changes to rules of origin, regional value content requirements, tariff treatment or customs procedures, will not adversely affect our business. Also, China presents unique risks to U.S. automotive manufacturers due to the strain in U.S.-China relations and the level of integration with key components in our global supply chain. It remains unclear what additional actions the current U.S. administration may take with respect to trade issues involving China and other countries.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Changes in U.S. trade relations with foreign countries involved in our business, including but not limited to Mexico, Canada, China, and European countries, could have a material effect on global economic conditions and significantly decrease global trade, which could adversely impact our production costs, purchased material costs, ability to compete, customer demand, short-term vehicle production levels and relationships with suppliers and customers. The ultimate impact of changes to tariffs and trade barriers will depend on a number of factors that are not yet known or are subject to change, including the timing, amount, scope and nature of any tariffs and trade barriers that are implemented.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Highly Competitive Automotive Supply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automotive component supply industry is highly competitive. OEMs rigorously evaluate our products and performance against competitors on the basis of quality, reliability and cost-effectiveness. New business is typically awarded to the supplier offering the most favorable combination of technological innovation, quality, delivery and price. Our ability to compete successfully depends, in large part, on our success in continuing to innovate and manufacture products that resonate with our customers, differentiating our products from those of our competitors, delivering quality products in the time frames required by our customers and maintaining efficient production. There can be no assurance that we will be able to compete successfully with the products of our competitors. Our competitors' efforts to grow market share could exert downward pressure on our product pricing and margins. Vertical integration by competitors and customers, as well as within our supply chain, could complicate and impact sourcing decisions by our customers and adversely affect our sales. Some of our competitors may have larger customer bases and significantly greater financial, technical, operational and procurement scale than we do. These factors may allow our competitors to respond more quickly than we can to new or emerging technologies and changes in customer requirements by devoting greater resources than we can to the development, promotion and sale of automotive aftermarket products.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global automotive industry is also experiencing increased competition from automotive manufacturers and component suppliers based in China. Chinese original equipment manufacturers ("OEMs") and suppliers have expanded their presence in key global markets through competitive pricing strategies, government-supported investments, technological advancements, vertical integration and increasing manufacturing scale. As Chinese vehicle manufacturers continue to gain market share, particularly in electric vehicles and related technologies, traditional global OEMs may experience reductions in vehicle production volumes, pricing pressures and shifts in sourcing strategies. 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Cyclicality and Seasonality in the Automotive Market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Historically, our operating results have fluctuated by quarter based on the ebbs and flows of automotive vehicle production levels. The automotive market is cyclical and is dependent on consumer spending, availability of consumer credit, inflation, labor conditions, interest rates, fuel prices, consumer preference and confidence, geopolitical issues and to a certain extent, customer sales incentives. Economic factors adversely affecting consumer demand for automobiles and automotive production could adversely impact our financial results.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Market Acceptance of New or Enhanced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growth of the Company's business will be dependent on the demand for innovative products. In order to increase sales in current markets and gain entry into new markets, the Company must innovate to maintain and improve existing products while successfully developing and introducing distinctive new and enhanced products that anticipate changing customer and consumer preferences and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capitalize upon emerging software technologies, including hybrid and electric vehicle advances. We principally compete for new business at the beginning of the development of new models and upon the redesign of existing models by our customers. New model development generally begins three to five years prior to the marketing of such new models. The failure to obtain new business on new vehicle models or to retain or increase business on redesigned existing models could result in reduced net sales. In addition, we may incur significant product development expenses in preparing to meet anticipated customer requirements which may not be recovered.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New Product Development and Innovation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intend to develop new vehicle access and security products, including advanced mechanical, electronic, and smart access systems, to expand into emerging mobility and connected vehicle markets. These efforts involve risks and may not be successful. The launch of new and enhanced products is a complex process, the success of which depends on a wide range of factors, including product quality, cost efficiency, the competitive landscape, customer demand and other factors. If we are unable to design, launch, or improve products on a timely and cost-effective basis in line with OEM program requirements, our ability to secure new business and our operating results could be adversely affected. Additionally, our success depends on developing innovative technologies and processes that meet evolving customer and industry standards. If we fail to do so, or if our customers do not adopt or integrate our new products and technologies into their vehicle platforms, our competitive position, business, and financial condition could be materially adversely affected.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Joint Ventures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operations are conducted through a joint venture with ADAC Automotive. With respect to our joint venture, we may share ownership and management responsibilities with a partner that may not share our goals and objectives. Operating a joint venture requires us to manage the business pursuant to the terms of the operating agreement. Risks associated with joint ventures include one or more partners failing to satisfy contractual obligations, the ability to enforce such obligations, conflicts arising between us and our partner, a change in the ownership of any of our partners and a reduced ability to control compliance with applicable rules and regulations. Additionally, our ability to sell our interest in a joint venture may be subject to contractual and other limitations. Any such occurrence could adversely affect our financial condition, operating results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Operational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Shortages, Increases in Costs, or Other Restrictions on the Availability of Raw Materials or Components Supply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of our customers experience a material supply shortage, either directly or as a result of supply shortages at another supplier, that customer may halt or limit the purchase of our products. Similarly, if we or one of our own suppliers experiences a supply shortage, we may become unable to produce the affected products if we cannot procure the components from another source. Such disruptions may arise due to any number of issues including catastrophic events such as natural disasters, global pandemics, war, rapid increases in demand, or unforeseen economic challenges like prolonged inflation or elevated interest rates. These shortages could impact our ability to meet production schedules for key products and could have a material adverse effect on our business, results of operations, financial condition and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recent fiscal years, we have experienced higher costs on raw materials and purchased components, as well as freight costs. The continuation or renewal of these cost increases could have a material adverse effect on our future revenue, financial results, financial condition and cash flows.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manage and reduce the costs of purchased goods and services, we have been rationalizing and consolidating our supply base. As a result, there is greater dependence on fewer sources of supply for certain components and materials used in our products. We consider the production capacities and financial condition of suppliers in our selection process, and expect them to meet our delivery requirements. However, there can be no assurance that strong demand, capacity limitations, shortages of raw materials, labor disputes or other problems will not result in any shortages, cost increases, or other restrictions on the availability of raw materials or components supplied to us.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Manufacturing Complexity and Quality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manufacture of our products involves highly complex and precise processes. If we experience disruptions, quality issues, or inefficiencies in our manufacturing operations, whether internally or through our suppliers, our ability to meet OEM specifications and delivery requirements could be adversely affected. Such issues could harm our reputation, customer relationships, and financial results.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Foreign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conduct manufacturing operations in Mexico. As these operations continue to expand, their success will depend, in part, on our ability to anticipate and effectively manage certain risks inherent in international operations, including: enforcing agreements and collecting receivables through certain foreign legal systems, payment cycles of foreign customers, compliance with foreign tax laws, general economic and political conditions in these countries and compliance with foreign laws and regulations.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Qualified Personnel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success depends, to a significant degree, on attracting and retaining qualified personnel. Our ability to sustain and grow our business requires us to hire, retain, develop and motivate a highly skilled and diverse management team and workforce. These types of employees are in high demand and often have competing employment opportunities. The labor market for skilled employees is highly competitive and we may lose key employees or be forced to increase their compensation to retain these types of employees. Failure to ensure that we have the leadership capacity with the necessary skill set and experience could impede our ability to deliver our growth objectives and execute our strategic plan. Organizational and reporting changes resulting from any future leadership transition or corporate initiatives could result in increased turnover. Additionally, any unplanned turnover or inability to attract and retain key employees could have a negative effect on our results of operations, including by significantly increasing our recruitment, training and other related employee costs. Moreover, the loss of key personnel, or the failure to attract qualified personnel, could have a material adverse effect on our business, results of operations, financial condition and cash flows.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Disruptions Due to Work Stoppages and Other Labor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major customers and many of their suppliers have unionized workforces. Work stoppages or slowdowns experienced by our customers or their suppliers could result in slowdowns or closures of assembly plants where our products are included in assembled vehicles. A material work stoppage experienced by one or more of our customers or suppliers could have an adverse effect on our business and financial results.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all production associates at our Milwaukee facility are unionized. The current contract with our Milwaukee unionized associates is effective through November 1, 2030. We also have unionized associates at our Leon, Mexico facility. The current contract with our Leon unionized associates is effective through April 12, 2027. We may encounter labor disruption and we may also encounter unionization efforts in our other plants or other types of labor conflicts, any of which could have an adverse effect on our business, financial results, financial condition and cash flows.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Climate Change, Environmental, Social and Governance (ESG) Matters, and Global Health Crises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Natural disasters, extreme weather conditions resulting from global climate change, or pandemics and infectious disease outbreaks could lead us, our customers or our suppliers to experience disruptions in operations or disruptions in the availability of key components, which could lead to a material adverse impact on our results of operations, financial condition and cash flows. Pandemics or disease outbreaks have disrupted, and may continue to disrupt, the global economy, and because we and our suppliers manufacture products in facilities around the world, we may be vulnerable to an outbreak of infectious disease in the regions in which we, or our customers or suppliers, operate.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increased customer focus on supply chain resiliency, expectations on sustainability have been rapidly evolving and increasing. The enhanced focus on sustainability requires continuous monitoring of various and evolving regulations and standards and their associated requirements. Our failure, or that of our supply base, to adequately meet stakeholder expectations may result in, among other things, the loss of business, or an inability to attract customers which would adversely affect our business, financial condition or results of operations.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Financial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Financial Distress of Automotive Supply Base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Unfavorable global, economic or industry conditions could result in the financial distress of the automotive supply base. Severe distress could lead to automotive suppliers filing for bankruptcy protection or ceasing operations. Such conditions may require us to provide financial assistance or other measures to ensure uninterrupted production. These conditions could have a material adverse effect on our existing and future revenues, financial results, financial condition and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Cost Reduction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continuing pressure from our major customers to reduce the prices we charge for our products. This requires us to continually generate cost reductions, including reductions in the cost of components purchased from outside suppliers. If we are unable to generate sufficient production cost savings in the future to offset pre-programmed price reductions or additional price reduction demands, our gross margin and profitability will be adversely affected.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Currency Exchange Rate Fluctuations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manufacturing operations in Mexico, and as a result, a portion of our manufacturing costs are incurred in Mexican pesos. Therefore, fluctuations in the U.S. dollar/Mexican peso exchange rate may have a material effect on our profitability, cash flows and financial position and may significantly affect the comparability of our results between financial periods. Any depreciation in the value of the U.S. dollar in relation to the value of the Mexican peso will adversely affect the cost of our Mexican operations when translated into U.S. dollars.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Program Volume and Pricing Fluctuations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incur costs and make capital expenditures for new program awards based upon certain estimates of production volumes over the anticipated program life for certain vehicles. While we attempt to establish the price of our products to account for variations in production volumes, if the actual production of certain vehicle models is significantly less than planned, our net sales and net income may be adversely affected. We cannot predict our customers’ demands for the products we supply either in the aggregate or for particular reporting periods.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Ability to Access Capital Markets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we have relied on our existing credit facilities to provide us with adequate working capital to operate our business and fund our capital expenditures, including any expansion initiatives. Escalation of any global inflationary pressures on our operating results may impact our ability to satisfy our lending covenants in the short term. Additionally, we cannot provide assurance that we will be able to refinance, extend the maturity of, or otherwise amend the terms of our existing credit facilities, or that any refinancing, extension, or amendment will be on terms favorable to us or even on commercially reasonable terms. If our lenders reduce or terminate our access to amounts under our credit facilities, we may not have sufficient capital to fund our working capital needs and/or we may need to secure additional capital or financing to fund our working capital requirements or to repay outstanding debt under our credit facilities. Moreover, new credit facilities resulting from any refinancing of our existing facilities could have a significantly higher rate of interest and greater borrowing costs than our existing facilities. We can make no assurance that we will be successful in ensuring the availability of amounts under our credit facilities or in connection with raising additional capital and that any amount, if raised, will be sufficient to meet our cash flow requirements. If we are not able to maintain our borrowing availability under our credit facilities it may have a negative impact on our business, results of operations, financial condition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Legal and Regulatory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intellectual property, including patents, trademarks, copyrights, and trade secrets, that are important to our business. Our intellectual property plays an important role in maintaining our competitive position in the markets we serve. We may directly or through a supplied component utilize intellectual property in products that require a license from a third-party. While we believe that such licenses generally can be obtained by us, or a supplier if a supplied component, we may not be able to obtain the necessary licenses on commercially acceptable terms or at all. Failure by us or our suppliers to obtain the right to use third-party intellectual property could preclude us from selling certain products, and developments or assertions by or against us relating to intellectual property rights could have materially adverse effects on our business, operating results, financial condition, and cash flow.</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Environmental, Safety and Other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federal, state, local and foreign laws and other legal requirements related to the generation, storage, transport, treatment and disposal of materials as a result of our manufacturing and assembly operations. These laws include, among others, the Resource Conservation and Recovery Act (as amended), the Clean Air Act (as amended) and the Comprehensive Environmental Response, Compensation and Liability Act (as amended). We believe that our existing environmental management system is adequate for current and anticipated operations.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environmental liability was established in 1995 for estimated costs to remediate an environmental matter impacting a portion of our Milwaukee facility. The contamination occurred in 1985 and, after initial remediation, is being monitored in accordance with federal, state and local requirements. Failure to comply with environmental regulations could result in fines, penalties, and legal liabilities, as well as damage to our reputation. Additionally, changes in environmental laws and regulations or in the enforcement of existing laws and regulations could result in increased compliance costs in excess of our existing liability or additional operating restrictions, which could adversely affect our business, financial condition, and results of operations.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overturned by jurisdictional tax authorities, which may have a significant impact on our global provision for income taxes. We are also subject to ongoing tax audits. These audits can involve complex issues, which may require an extended period of time to resolve and can be highly subjective. Tax authorities may disagree with certain tax reporting positions taken by us and, as a result, assess additional taxes. Failure to comply with these tax laws and regulations could result in significant penalties, fines, and interest charges. Additionally, changes in tax legislation or tax rates, including changes in the interpretation or enforcement of existing tax laws, could adversely affect our financial condition and results of operations.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Warranty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exposed to warranty claims in the event that our products fail to perform as expected, and we may be required to participate in the repair costs incurred by our customers for such products. We are engaged in ongoing discussions with our customers regarding warranty information and potential claims. The results of these discussions could result in additional warranty costs in future periods. Depending on the nature of and the volume of vehicles involved in the potential warranty claims, these costs could be material to our financial statements. As additional information becomes available, actual warranty results may differ from recorded reserves or we may need to record additional warranty provisions. If our customers demand higher warranty-related cost recoveries, or if our products fail to perform as expected, it could have a material adverse impact on our results of operations, financial condition and cash flows.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Other Legal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involved in various legal and regulatory proceedings and claims that, from time to time, may be significant. These are typically claims that arise in the normal course of business, including, without limitation, commercial or contractual disputes, intellectual property matters, personal injury claims, environmental matters, tax matters, employment matters and antitrust matters. No assurances can be given that such proceedings and claims will not adversely affect our financial condition, operating results and cash flows.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Other Risks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Cyber Vulnerability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ordinary course of business, we collect and store sensitive data, including our proprietary business information and that of our customers, suppliers and business partners, as well as personally identifiable information of our customers and employees, in our internal data centers, cloud services and on our networks. The secure processing, maintenance and transmission of this information is critical to our operations and business strategy.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Cybercriminals have increasingly demonstrated advanced capabilities, such as use of zero-day vulnerabilities, and rapid integration of new technology such as generative artificial intelligence. Despite our security measures, our information technology and infrastructure, as well as that of our partners, customers and suppliers, may be vulnerable to malicious attacks, breaches or system failures due to employee error, malfeasance or other disruptions, including as a result of rollouts of new systems. Any such breach or operation failure would compromise our networks or that of our business partners, customers or suppliers, and the information stored could be accessed, publicly disclosed, lost or stolen, cause transaction processing errors, processing inefficiencies, delays or cancellation of customer orders, the loss of customers, impediments to the manufacturing or shipment of products, or other business disruptions. Such access or other loss of information could result in legal claims or proceedings, regulatory fines or penalties, disruption in our operations, damage to our reputation, loss of confidence in our products and services, increased costs, or the loss of assets, any of which could have a negative impact on our business, results of operations, financial condition and cash flows.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as security threats, cybersecurity, data privacy and protection laws and regulations continue to evolve and increase in terms of sophistication, we may be required to or choose to invest additional resources in the security of our systems. Any such increased level of investment could adversely affect our financial condition or results of operations.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Geopolitical Instability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currently operating in a period of geopolitical instability, which has significantly contributed to economic uncertainty, capital market disruption and supply chain interruptions in the U.S. and global markets. While the length and impact of the ongoing global conflicts are unpredictable, they could lead to further market disruptions, including supply chain interruptions and significant volatility in commodity prices, and in credit and capital markets. The ongoing conflicts have led to sanctions and other penalties being levied by the U.S., the EU, and other countries. Additional potential sanctions and penalties have also been proposed. These global conflicts, as well as future geopolitical conflicts, could adversely affect the global economy and financial markets and lead to instability and lack of liquidity in capital markets, potentially further disrupting the supply chain for necessary components and raw materials used by us or our customers in producing products. Any of the foregoing factors could have a material adverse effect on our business, operating results, financial condition and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40"/>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Governance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conducts regular assessments of cybersecurity risks both internally and with third party assistance. Our Chief Information Officer reports on the results of these assessments and corresponding recommendations to the full Board of Directors at least annually. We use the National Institute of Standards and Technology ("NIST") framework to regularly assess the threat landscape and support a cybersecurity strategy based on prevention, detection and mitigation. In general, the Company seeks to address cybersecurity risks through a cross-functional approach that is focused on preserving confidentiality, managing data security and availability and effectively responding to cybersecurity incidents when they occur. Management's philosophy on cybersecurity is to be vigilant in protecting the Company through investments in tools and employee awareness to aid in the prevention, detection and mitigation of cyber threats, while recognizing that not all threats are preventable.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Chief Information Officer and Chief Financial Officer, along with cybersecurity personnel on their respective teams, are responsible for developing cybersecurity programs, as may be required by applicable law or regulation. Our cybersecurity personnel have the appropriate expertise in IT and cybersecurity, which generally has been gained from a combination of education, including relevant degrees and/or certifications, and prior work experience.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Risk Management and Strategy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Among other best practices, we use multi-factor authentication wherever possible for external access to systems, assess and update current versions of security solutions, perform annual cybersecurity training and email phishing campaigns for employees, use third parties to perform external penetration testing, and maintain disaster recovery and incident response plans. We employ a combination of methods to monitor new or developing cybersecurity risks. Incidents, if any, are escalated to management and the Board according to our incident response policy. Through these processes, we did not identify risks from current or past cybersecurity incidents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w:t>
      </w:r>
    </w:p>
    <w:p>
      <w:pPr>
        <w:pStyle w:val="TextBody"/>
        <w:bidi w:val="0"/>
        <w:spacing w:before="0" w:after="240"/>
        <w:jc w:val="both"/>
        <w:rPr>
          <w:rFonts w:ascii="Times New Roman" w:hAnsi="Times New Roman"/>
          <w:sz w:val="20"/>
        </w:rPr>
      </w:pPr>
      <w:bookmarkStart w:id="7" w:name="item_2_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five manufacturing plants, one warehouse, and two sales offices. We believe these facilities are well maintained and in good operating condition and are sufficient to meet our current needs. These facilities are described as follows:</w:t>
      </w:r>
    </w:p>
    <w:tbl>
      <w:tblPr>
        <w:tblW w:w="8249" w:type="dxa"/>
        <w:jc w:val="left"/>
        <w:tblInd w:w="0" w:type="dxa"/>
        <w:tblLayout w:type="fixed"/>
        <w:tblCellMar>
          <w:top w:w="28" w:type="dxa"/>
          <w:left w:w="28" w:type="dxa"/>
          <w:bottom w:w="28" w:type="dxa"/>
          <w:right w:w="28" w:type="dxa"/>
        </w:tblCellMar>
      </w:tblPr>
      <w:tblGrid>
        <w:gridCol w:w="2296"/>
        <w:gridCol w:w="146"/>
        <w:gridCol w:w="3571"/>
        <w:gridCol w:w="146"/>
        <w:gridCol w:w="146"/>
        <w:gridCol w:w="781"/>
        <w:gridCol w:w="146"/>
        <w:gridCol w:w="146"/>
        <w:gridCol w:w="8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Sq. Ft.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 or</w:t>
              <w:br/>
              <w:t>Leased</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Milwaukee, Wisconsin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headquarters and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Juarez, Chihuahua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Paso, 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Auburn Hills, 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engineering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bl>
    <w:p>
      <w:pPr>
        <w:pStyle w:val="TextBody"/>
        <w:bidi w:val="0"/>
        <w:spacing w:before="240" w:after="240"/>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we may be involved in various legal proceedings. We do not believe we are currently involved in any claim, action or proceeding of which the ultimate disposition would have a material adverse effect on our financial condition, results of operations or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pPr>
      <w:r>
        <w:rPr/>
        <w:t> </w:t>
      </w:r>
    </w:p>
    <w:p>
      <w:pPr>
        <w:pStyle w:val="TextBody"/>
        <w:bidi w:val="0"/>
        <w:jc w:val="left"/>
        <w:rPr>
          <w:rFonts w:ascii="Times New Roman" w:hAnsi="Times New Roman"/>
          <w:b/>
          <w:color w:val="000000"/>
          <w:sz w:val="20"/>
        </w:rPr>
      </w:pPr>
      <w:bookmarkStart w:id="11" w:name="item_5__market_for_registrants_common_eq"/>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Common Stock trades on the Nasdaq Global Market under the symbol “STRT.”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Holders</w:t>
      </w:r>
    </w:p>
    <w:p>
      <w:pPr>
        <w:pStyle w:val="TextBody"/>
        <w:bidi w:val="0"/>
        <w:jc w:val="both"/>
        <w:rPr>
          <w:rFonts w:ascii="Times New Roman" w:hAnsi="Times New Roman"/>
          <w:color w:val="000000"/>
          <w:sz w:val="20"/>
        </w:rPr>
      </w:pPr>
      <w:r>
        <w:rPr>
          <w:rFonts w:ascii="Times New Roman" w:hAnsi="Times New Roman"/>
          <w:color w:val="000000"/>
          <w:sz w:val="20"/>
        </w:rPr>
        <w:t>As of June 28, 2026, our Common Stock was held by 718 shareholders of record. The number of stockholders of record is based upon the actual number of holders registered on this date and does not include holders of common stock in “street name” by brokers or other entities on behalf of stockholders.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not paid a cash dividend on our Common Stock in the last three years and do not currently expect to pay cash dividends in the foreseeable future. The payment of future dividends is within the discretion of the Board of Directors and will depend upon business conditions, results of operations, financial condition and other factors.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Stock Repurchase Programs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28, 2026, the Board of Directors authorized a new share repurchase program under which the Company may repurchase up to $40.0 million of its outstanding common stock. In connection with the authorization of the new program, we terminated our previous share repurchase program. The new share repurchase program has no fixed expiration date, does not obligate us to acquire any specific amount of common stock, and may be modified, suspended or terminated at any time at the discretion of the Board of Directors.</w:t>
      </w:r>
    </w:p>
    <w:p>
      <w:pPr>
        <w:pStyle w:val="TextBody"/>
        <w:bidi w:val="0"/>
        <w:jc w:val="both"/>
        <w:rPr>
          <w:rFonts w:ascii="Times New Roman" w:hAnsi="Times New Roman"/>
          <w:color w:val="000000"/>
          <w:sz w:val="20"/>
        </w:rPr>
      </w:pPr>
      <w:r>
        <w:rPr>
          <w:rFonts w:ascii="Times New Roman" w:hAnsi="Times New Roman"/>
          <w:color w:val="000000"/>
          <w:sz w:val="20"/>
        </w:rPr>
        <w:t>The prior authorization permitted the repurchase of up to 3,839,395 shares of our common stock. Prior to fiscal 2026 a total of 3,655,322 shares had been repurchased at a cost of $136.4 million. The following table provides information with respect to the purchases by the Company of Common Stock under this authorization during the three months ended June 28,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4"/>
        <w:gridCol w:w="146"/>
        <w:gridCol w:w="321"/>
        <w:gridCol w:w="1725"/>
        <w:gridCol w:w="146"/>
        <w:gridCol w:w="146"/>
        <w:gridCol w:w="472"/>
        <w:gridCol w:w="1279"/>
        <w:gridCol w:w="146"/>
        <w:gridCol w:w="146"/>
        <w:gridCol w:w="551"/>
        <w:gridCol w:w="3519"/>
        <w:gridCol w:w="194"/>
      </w:tblGrid>
      <w:tr>
        <w:trPr/>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3/30/2026 - 5/3/2026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5/4/2026 - 5/31/2026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3,765,591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6/1/2026 - 6/28/2026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3,765,591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graph illustrates the cumulative returns over the last five years, assuming an initial investment of $100 and the reinvestment of dividends, if any, in (1) our Common Stock, (2) Russell 2000 Index, (3) the S&amp;P 600 Index and (4) the Nasdaq US Benchmark Auto Parts TR Index. Historical performance may not be indicative of future shareholder returns.</w:t>
      </w:r>
    </w:p>
    <w:p>
      <w:pPr>
        <w:pStyle w:val="TextBody"/>
        <w:bidi w:val="0"/>
        <w:jc w:val="left"/>
        <w:rPr/>
      </w:pPr>
      <w:r>
        <w:rPr/>
        <w:drawing>
          <wp:inline distT="0" distB="0" distL="0" distR="0">
            <wp:extent cx="6858000" cy="3552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552825"/>
                    </a:xfrm>
                    <a:prstGeom prst="rect">
                      <a:avLst/>
                    </a:prstGeom>
                  </pic:spPr>
                </pic:pic>
              </a:graphicData>
            </a:graphic>
          </wp:inline>
        </w:drawing>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5"/>
        <w:gridCol w:w="146"/>
        <w:gridCol w:w="211"/>
        <w:gridCol w:w="676"/>
        <w:gridCol w:w="146"/>
        <w:gridCol w:w="146"/>
        <w:gridCol w:w="238"/>
        <w:gridCol w:w="644"/>
        <w:gridCol w:w="146"/>
        <w:gridCol w:w="146"/>
        <w:gridCol w:w="238"/>
        <w:gridCol w:w="644"/>
        <w:gridCol w:w="146"/>
        <w:gridCol w:w="146"/>
        <w:gridCol w:w="238"/>
        <w:gridCol w:w="644"/>
        <w:gridCol w:w="146"/>
        <w:gridCol w:w="146"/>
        <w:gridCol w:w="215"/>
        <w:gridCol w:w="692"/>
        <w:gridCol w:w="146"/>
        <w:gridCol w:w="146"/>
        <w:gridCol w:w="215"/>
        <w:gridCol w:w="692"/>
        <w:gridCol w:w="197"/>
      </w:tblGrid>
      <w:tr>
        <w:trPr/>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6/27/2021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07/03/2022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07/02/2023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06/29/2025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06/28/2026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Strattec Security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2000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600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US Benchmark Auto Parts TR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sz w:val="20"/>
        </w:rPr>
      </w:pPr>
      <w:bookmarkStart w:id="12" w:name="item_6__selected_financial_data"/>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_managements_discussion_analysis_"/>
      <w:bookmarkEnd w:id="13"/>
      <w:r>
        <w:rPr>
          <w:rFonts w:ascii="Times New Roman" w:hAnsi="Times New Roman"/>
          <w:b/>
          <w:color w:val="000000"/>
          <w:sz w:val="20"/>
        </w:rPr>
        <w:t>ITEM 7. MANAGEMENT’S DISCUSSION AND ANALYSIS OF FINANCIAL CONDITION AND RESULTS OF OPERATIONS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Management's Discussion and Analysis should be read in conjunction with the accompanying audited consolidated financial statements and notes.</w:t>
      </w:r>
    </w:p>
    <w:p>
      <w:pPr>
        <w:pStyle w:val="TextBody"/>
        <w:bidi w:val="0"/>
        <w:jc w:val="both"/>
        <w:rPr>
          <w:rFonts w:ascii="Times New Roman" w:hAnsi="Times New Roman"/>
          <w:b/>
          <w:color w:val="000000"/>
          <w:sz w:val="20"/>
        </w:rPr>
      </w:pPr>
      <w:r>
        <w:rPr>
          <w:rFonts w:ascii="Times New Roman" w:hAnsi="Times New Roman"/>
          <w:b/>
          <w:color w:val="000000"/>
          <w:sz w:val="20"/>
        </w:rPr>
        <w:t>Business 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noBreakHyphen/>
        <w:t>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 As access becomes increasingly intelligent, connected, and central to vehicle experience, Strattec’s strategy is to expand its market share, further diversify its customers and geographic reach while becoming the most trusted access partner to drive long</w:t>
        <w:noBreakHyphen/>
        <w:t>term growth across global automotive and mobility markets. While the Company serves major automotive OEMs globally, the majority of sales are to the three largest automobile original equipment manufacturers in North America.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Current Business Update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strategic priority is to execute on a business transformation to strengthen the Company’s profitability and deliver sustainable sales growth. We expect to improve our business with upgraded systems and processes, modernization of our support functions and focus on productivity and efficiencies in our manufacturing operations. We believe this will result in an optimized cost structure and consistent cash generation through improved working capital velocity and efficient asset utilization. To drive organic growth, we will leverage our technical engineering expertise, market leading positions and strong customer relationships to generate innovative solutions and capture more content on current platforms, win new platforms with current customers, gain new customers both domestically and abroad and build opportunities in the broader transportation industry. The strength of our balance sheet also supports continued investments in process modernization, automation and new product innovation, as well as the flexibility needed to navigate through industry cycles.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Fiscal 2026 Financial Highlights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Grew net sales 3% to $579.4 million driven by pricing and volume increases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Expanded gross margin 150 basis points to 16.5%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Delivered a 10% increase in net income to $20.6 million, or $5.00 per diluted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Generated $46.3 million of cash flow from operations driven by cash earnings and working capital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Returned $7.4 million of capital to shareholders through the repurchase of over 2% of our outstanding common stock</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Business Transformation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fiscal 2026, we continued executing on our multi-year business transformation. We made significant progress on organizational restructuring actions, operational improvements and investments in business processes and technology. We reduced total headcount by approximately 7% during the year while maintaining support for customer programs and key growth initiatives. Operationally, we continued implementing initiatives designed to improve efficiency and cost competitiveness, including manufacturing automation, freight optimization and supply chain resiliency projects. These efforts contributed to improved gross profit margin despite foreign exchange headwinds and fluctuating customer production schedules. We also advanced several foundational process and technology initiatives intended to strengthen decision-making, improve data visibility, and increase organizational effectiveness.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Commercially, we continued efforts to strengthen customer engagement, improve quoting and program management processes, refine our product portfolio and pursue opportunities to win new business from both existing and prospective customers. The automotive industry is characterized by long product development and customer sourcing cycles. New vehicle programs are typically awarded several years before the start of production, requiring suppliers to invest significant engineering, validation, tooling and program management resources well in advance of realizing sales. Customer relationships are often developed over an extended period, and it may take five to seven years or longer to establish new OEM relationships, demonstrate technical capabilities, earn customer trust and secure meaningful production awards. As a result, we are actively working to be included on vehicle platforms scheduled for production in model years 2030 and beyond. We are also working to expand our reach to a broader customer set than we have addressed historically. Our strategic initiatives are aimed at building a more predictable business that can generate consistent cash flow across industry cycles.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these transformational initiatives, combined with ongoing investments in organizational capabilities, will better position the Company to respond in a changing automotive market.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Capital Allocation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Over the past two years we have driven significant cash flow from operations which has resulted in the repayment of all existing debt and continued strengthening of our balance sheet. We are committed to a disciplined capital allocation approach, designed to maximize long-term shareholder value while maintaining financial flexibility through industry cycles. Our first priority is to maintain a strong balance sheet and sufficient liquidity to support working capital requirements and capital expenditures, and allow us to navigate potential market volatility. Given the cyclical nature of the automotive industry and ongoing macroeconomic uncertainty, we believe maintaining a strong balance sheet enhances our ability to invest through economic cycles and respond to changing customer and market conditions. Our second priority is investing in the business to support long-term growth and operational improvement. These investments include customer program launches, product development, manufacturing automation, cost reduction initiatives, information technology investments, and other strategic initiatives intended to improve our competitiveness and margins. Third, we evaluate opportunities to return excess capital to shareholders. Subject to market conditions and investment opportunities we may repurchase shares on an opportunistic basis and to offset dilution associated with equity compensation programs. We also allocate capital to pursue strategic acquisition opportunities that enhance our capabilities, expand customer relationships, increase scale, improve margins, or otherwise support our long-term strategic objectives.</w:t>
      </w:r>
    </w:p>
    <w:p>
      <w:pPr>
        <w:pStyle w:val="TextBody"/>
        <w:bidi w:val="0"/>
        <w:jc w:val="left"/>
        <w:rPr>
          <w:rFonts w:ascii="Times New Roman" w:hAnsi="Times New Roman"/>
          <w:i/>
          <w:color w:val="000000"/>
          <w:sz w:val="20"/>
        </w:rPr>
      </w:pPr>
      <w:r>
        <w:rPr>
          <w:rFonts w:ascii="Times New Roman" w:hAnsi="Times New Roman"/>
          <w:i/>
          <w:color w:val="000000"/>
          <w:sz w:val="20"/>
        </w:rPr>
        <w:t>Market &amp; Macro Environment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North American automotive market continues to experience uncertainty driven by evolving trade policies, foreign exchange fluctuations, changing vehicle affordability dynamics, shifting OEM production schedules and emerging Chinese OEMs. Industry production levels remained below historical peak levels during fiscal 2026, and third-party forecasts indicate a modest (2% to 3%) decline in North American light vehicle production in fiscal 2027, while our primary customers are expected to decline 5% to 6% over the next year. Recent production forecasts have been impacted by tariff-related uncertainty, consumer demand trends, and a reduced number of scheduled vehicle launches by certain OEMs. Several of our largest customers, including Ford, General Motors, and Stellantis, continue to operate in a highly competitive environment characterized by declining market share positions, ongoing electrification strategy adjustments, and efforts to optimize vehicle inventories and production schedules. Industry participants remain focused on balancing production with retail demand following the inventory rebuilding experienced after the COVID-19 supply disruptions.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global trade environment also remains dynamic. During fiscal 2026, the United States implemented and modified tariffs on certain imported goods, while other countries introduced reciprocal measures and trade restrictions. In addition, the ongoing review of the United States</w:t>
        <w:noBreakHyphen/>
        <w:t>Mexico</w:t>
        <w:noBreakHyphen/>
        <w:t xml:space="preserve">Canada Agreement ("USMCA") and potential future changes to regional content requirements, rules of origin, and tariff treatment have contributed to uncertainty across the North American automotive supply chain. These developments have required us to evaluate sourcing strategies, localization opportunities, and supply chain resiliency initiatives.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Foreign currency movements, particularly fluctuations in the Mexican peso relative to the U.S. dollar, remain an important factor affecting our operating results. Because a significant portion of the Company's manufacturing operations are located in Mexico, peso appreciation increases labor and manufacturing costs when translated into U.S. dollars. During fiscal 2026, changes in foreign exchange rates affected both operating costs and the mark-to-market valuation of the Company's foreign currency hedging program. The Company continues to utilize forward currency contracts to reduce a portion of its exposure to Mexican peso fluctuations.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macroeconomic uncertainty, fluctuating OEM production volumes, tariffs, and foreign exchange volatility remain challenges, we believe the actions taken during fiscal 2026 have improved profitability and enhanced cash generation. As we enter fiscal 2027, we remain focused on continuing to advance our strategic priorities, executing the business transformation, strengthening operational performance, and delivering long-term value for shareholders.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Analysis of Results of Operations</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discussion is a comparison between fiscal 2026 and fiscal 2025 results. For a discussion of our results of operations comparing fiscal 2025 to fiscal 2024, refer to Item 7 of Part II, “Management’s Discussion and Analysis of Financial Condition and Results of Operations” in our Annual Report on Form 10-K for the fiscal year ended June 29, 2025, which was filed with the SEC on August 25, 2025 and is available on our website.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Year ended June 28, 2026 (fiscal 2026) compared with the year ended June 29, 2025 (fiscal 2025)</w:t>
      </w:r>
    </w:p>
    <w:p>
      <w:pPr>
        <w:pStyle w:val="TextBody"/>
        <w:bidi w:val="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both"/>
        <w:rPr>
          <w:rFonts w:ascii="Times New Roman" w:hAnsi="Times New Roman"/>
          <w:color w:val="000000"/>
          <w:sz w:val="20"/>
        </w:rPr>
      </w:pPr>
      <w:r>
        <w:rPr>
          <w:rFonts w:ascii="Times New Roman" w:hAnsi="Times New Roman"/>
          <w:color w:val="000000"/>
          <w:sz w:val="20"/>
        </w:rPr>
        <w:t>The Company's consolidated results of operations for the years ended June 28, 2026 and June 29, 2025 were as follows (in thousands):</w:t>
        <w:br/>
        <w:t> </w:t>
      </w:r>
    </w:p>
    <w:tbl>
      <w:tblPr>
        <w:tblW w:w="10205" w:type="dxa"/>
        <w:jc w:val="left"/>
        <w:tblInd w:w="0" w:type="dxa"/>
        <w:tblLayout w:type="fixed"/>
        <w:tblCellMar>
          <w:top w:w="28" w:type="dxa"/>
          <w:left w:w="28" w:type="dxa"/>
          <w:bottom w:w="28" w:type="dxa"/>
          <w:right w:w="28" w:type="dxa"/>
        </w:tblCellMar>
      </w:tblPr>
      <w:tblGrid>
        <w:gridCol w:w="4720"/>
        <w:gridCol w:w="146"/>
        <w:gridCol w:w="238"/>
        <w:gridCol w:w="883"/>
        <w:gridCol w:w="271"/>
        <w:gridCol w:w="146"/>
        <w:gridCol w:w="238"/>
        <w:gridCol w:w="883"/>
        <w:gridCol w:w="271"/>
        <w:gridCol w:w="146"/>
        <w:gridCol w:w="211"/>
        <w:gridCol w:w="676"/>
        <w:gridCol w:w="146"/>
        <w:gridCol w:w="146"/>
        <w:gridCol w:w="146"/>
        <w:gridCol w:w="421"/>
        <w:gridCol w:w="517"/>
      </w:tblGrid>
      <w:tr>
        <w:trPr/>
        <w:tc>
          <w:tcPr>
            <w:tcW w:w="4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material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Labor and overhead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bp</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administrative and engineering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bp</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 and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Net sales in fiscal 2026 totaled $579.4 million, an increase of $14.3 million, or 3%, compared with fiscal 2025 net sales of $565.1 million. The year-over-year increase was driven by $11.0 million of pricing, including $2.6 million of U.S. tariff surcharges and price increases, and $3.3 million of additional volume. Sales volumes reflected a $9.5 million increase on existing platforms and $3.3 million of net new program launches, which were partially offset by $9.5 million in reduced sales associated with customer cancelled electric vehicle ("EV") programs compared to the prior</w:t>
        <w:noBreakHyphen/>
        <w:t>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Material costs increased $3.3 million primarily due to higher sales volumes, while labor and overhead costs increased $0.2 million. Increased conversion costs were due to higher sales volumes and a $6.5 million headwind from changes in foreign currency exchange rates. These increases were partially offset by $5.4 million in savings from previously completed restructuring actions and $1.7 million lower provisions for annual bonuses.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Gross profit was $95.4 million in fiscal 2026, compared with $84.5 million in the comparable prior-year period. Despite unfavorable changes in foreign currency exchange rates, gross margin improved year-over-year from 15.0% to 16.5%, a 150 basis point improvement, reflecting our focused efforts to manage our cost structure, incremental production volumes and pricing actions.</w:t>
      </w:r>
    </w:p>
    <w:p>
      <w:pPr>
        <w:pStyle w:val="TextBody"/>
        <w:bidi w:val="0"/>
        <w:jc w:val="both"/>
        <w:rPr>
          <w:rFonts w:ascii="Times New Roman" w:hAnsi="Times New Roman"/>
          <w:color w:val="000000"/>
          <w:sz w:val="20"/>
        </w:rPr>
      </w:pPr>
      <w:r>
        <w:rPr>
          <w:rFonts w:ascii="Times New Roman" w:hAnsi="Times New Roman"/>
          <w:color w:val="000000"/>
          <w:sz w:val="20"/>
        </w:rPr>
        <w:t>Selling, administrative, and engineering expenses were 11.9% of sales in fiscal 2026, compared with 10.9% in the prior-year period. Total Selling, administrative, and engineering expenses were $68.8 million in fiscal 2026, an increase of $7.0 million year-over-year. The increase in costs reflects $3.3 million associated with investments in additional talent, $3.3 million of incremental business transformation costs and $1.3 million of incremental restructuring and voluntary retirement costs related to efforts to improve our cost structure. These increases were partially offset by reduced executive transition costs of $1.4 million and $1.2 million of lower provisions for annual bonuses.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Interest income increased $1.5 million due to increased levels of cash and cash equivalents, which are invested in overnight money market funds, while interest expense decreased $0.6 million, the result of debt repayments.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Other income, net increased from $0.8 million in fiscal 2025 to $3.3 million in fiscal 2026. The increase in Other income, net was primarily due to $4.9 million realized gains on peso forward contracts, partially offset by $1.6 million foreign currency transaction losses and $0.8 million non-service pension and postemployment costs.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effective income tax rate was 34.4% and 23.2% for fiscal 2026 and 2025, respectively. The effective rate for both periods differs from the statutory rate because of the foreign rate differential, state income taxes, research and development tax credits, limitations on the utilization of tax credits and non-deductible items. Additionally, the fiscal 2026 effective tax rate was impacted by a $1.0 million increase to valuation allowances and a $2.9 million increase to reserves for uncertain tax positions. See Note 6, “Income Taxes,” for additional information.</w:t>
      </w:r>
    </w:p>
    <w:p>
      <w:pPr>
        <w:pStyle w:val="TextBody"/>
        <w:bidi w:val="0"/>
        <w:jc w:val="both"/>
        <w:rPr>
          <w:rFonts w:ascii="Times New Roman" w:hAnsi="Times New Roman"/>
          <w:color w:val="000000"/>
          <w:sz w:val="20"/>
        </w:rPr>
      </w:pPr>
      <w:r>
        <w:rPr>
          <w:rFonts w:ascii="Times New Roman" w:hAnsi="Times New Roman"/>
          <w:color w:val="000000"/>
          <w:sz w:val="20"/>
        </w:rPr>
        <w:t>Fiscal 2026 net income attributable to Strattec was $20.6 million, a 10% increase compared with $18.7 million in fiscal 2025. Incremental production volumes, coupled with pricing and restructuring actions drove improved profitability, despite headwinds from changes in foreign currency exchange rates and continued investments in the business. Earnings per diluted share were $5.00 in fiscal 2026, compared with $4.58 in the prior year.</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June 28, 2026, we had $108.2 million of cash and cash equivalents, of which $3.8 million was held by our foreign subsidiaries. The following table summarizes our cash flows provided by (used in) operating, investing and financing activities (in millions):</w:t>
      </w:r>
    </w:p>
    <w:tbl>
      <w:tblPr>
        <w:tblW w:w="8102" w:type="dxa"/>
        <w:jc w:val="left"/>
        <w:tblInd w:w="0" w:type="dxa"/>
        <w:tblLayout w:type="fixed"/>
        <w:tblCellMar>
          <w:top w:w="28" w:type="dxa"/>
          <w:left w:w="28" w:type="dxa"/>
          <w:bottom w:w="28" w:type="dxa"/>
          <w:right w:w="28" w:type="dxa"/>
        </w:tblCellMar>
      </w:tblPr>
      <w:tblGrid>
        <w:gridCol w:w="3546"/>
        <w:gridCol w:w="146"/>
        <w:gridCol w:w="322"/>
        <w:gridCol w:w="803"/>
        <w:gridCol w:w="166"/>
        <w:gridCol w:w="146"/>
        <w:gridCol w:w="350"/>
        <w:gridCol w:w="775"/>
        <w:gridCol w:w="166"/>
        <w:gridCol w:w="146"/>
        <w:gridCol w:w="350"/>
        <w:gridCol w:w="775"/>
        <w:gridCol w:w="41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Fiscal 2026 cash flow from operations increased our balance sheet cash position, allowed us to repay all outstanding bank debt, repurchase common stock and continue to invest in the business. Cash flow from operations was $46.3 million compared with $71.7 million in the prior year. Current year cash from operations reflects improved cash earnings, while the prior year benefited from a significant reduction in primary working capital and the recovery of pre-production costs. Net cash used in investing activities was $5.4 million during fiscal 2026 compared with $7.2 million in the prior-year period. Capital expenditures to support new product programs and the upgrade and replacement of existing equipment were $7.3 million which was partially offset by $1.9 million of proceeds from the sale of property, plant and equipment. Current year cash used in financing activities resulted from the repayment of $8.0 million under our joint venture revolving credit agreement, $7.4 million repurchases of our common stock and the payment of $1.4 million for taxes withheld for the vesting of share-based awards.</w:t>
      </w:r>
    </w:p>
    <w:p>
      <w:pPr>
        <w:pStyle w:val="TextBody"/>
        <w:bidi w:val="0"/>
        <w:jc w:val="both"/>
        <w:rPr>
          <w:rFonts w:ascii="Times New Roman" w:hAnsi="Times New Roman"/>
          <w:i/>
          <w:color w:val="000000"/>
          <w:sz w:val="20"/>
        </w:rPr>
      </w:pPr>
      <w:r>
        <w:rPr>
          <w:rFonts w:ascii="Times New Roman" w:hAnsi="Times New Roman"/>
          <w:i/>
          <w:color w:val="000000"/>
          <w:sz w:val="20"/>
        </w:rPr>
        <w:t>Primary Working Capital Management</w:t>
      </w:r>
    </w:p>
    <w:p>
      <w:pPr>
        <w:pStyle w:val="TextBody"/>
        <w:bidi w:val="0"/>
        <w:jc w:val="both"/>
        <w:rPr>
          <w:rFonts w:ascii="Times New Roman" w:hAnsi="Times New Roman"/>
          <w:color w:val="000000"/>
          <w:sz w:val="20"/>
        </w:rPr>
      </w:pPr>
      <w:r>
        <w:rPr>
          <w:rFonts w:ascii="Times New Roman" w:hAnsi="Times New Roman"/>
          <w:color w:val="000000"/>
          <w:sz w:val="20"/>
        </w:rPr>
        <w:b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pStyle w:val="TextBody"/>
        <w:bidi w:val="0"/>
        <w:jc w:val="both"/>
        <w:rPr/>
      </w:pPr>
      <w:r>
        <w:rPr/>
        <w:t> </w:t>
      </w:r>
    </w:p>
    <w:tbl>
      <w:tblPr>
        <w:tblW w:w="7388" w:type="dxa"/>
        <w:jc w:val="left"/>
        <w:tblInd w:w="0" w:type="dxa"/>
        <w:tblLayout w:type="fixed"/>
        <w:tblCellMar>
          <w:top w:w="28" w:type="dxa"/>
          <w:left w:w="28" w:type="dxa"/>
          <w:bottom w:w="28" w:type="dxa"/>
          <w:right w:w="28" w:type="dxa"/>
        </w:tblCellMar>
      </w:tblPr>
      <w:tblGrid>
        <w:gridCol w:w="2251"/>
        <w:gridCol w:w="375"/>
        <w:gridCol w:w="750"/>
        <w:gridCol w:w="166"/>
        <w:gridCol w:w="146"/>
        <w:gridCol w:w="222"/>
        <w:gridCol w:w="483"/>
        <w:gridCol w:w="331"/>
        <w:gridCol w:w="146"/>
        <w:gridCol w:w="375"/>
        <w:gridCol w:w="750"/>
        <w:gridCol w:w="166"/>
        <w:gridCol w:w="146"/>
        <w:gridCol w:w="197"/>
        <w:gridCol w:w="508"/>
        <w:gridCol w:w="376"/>
      </w:tblGrid>
      <w:tr>
        <w:trPr/>
        <w:tc>
          <w:tcPr>
            <w:tcW w:w="22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PWC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PWC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net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Primary working capital</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Cash Requirements and Contractual Obligations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Future Capital Expenditures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anticipate capital expenditures will be approximately $12.0 million in fiscal 2027 in support of requirements for new product programs and the upgrade and replacement of existing equipment.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May 28, 2026, the Board of Directors authorized a new share repurchase program under which we may repurchase up to $40.0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million of its outstanding common stock. The authorization has no fixed expiration date and does not obligate us to acquire any specific amount of common stock. During the fourth quarter of fiscal 2026 and prior to termination of our previous repurchase authorization, we repurchased 110,269 shares of common stock for $7.4 million. As of June 28, 2026, no shares had been repurchased under the new authorization and the full $40.0 million remained available for repurchase. Repurchases under the program, if any, are expected to be funded through cash generated from operations and existing cash balances.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 revolving credit facility with BMO Harris Bank N.A., which provides for a $40 million revolving line of credit maturing October 2028. The Company's joint venture also has a revolving credit agreement with BMO Harris Bank N.A., which provides for a $10 million asset-based revolving line of credit, subject to a borrowing base, maturing October 2028.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were no outstanding borrowings and no interest due on either facility as of June 28, 2026. The repayment of any balance drawn on these facilities and the related interest payment obligations are expected to be funded by cash flow from operations and current cash balances. For further information related to our credit facilities, see Note 3, "Credit Facilities," for additional information.</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be required to make cash outlays related to our unrecognized tax benefits, including interest and penalties. As of June 28, 2026, we had unrecognized tax benefits, including interest and penalties, of $4.7 million. However, due to the uncertainty of the timing of future cash flows associated with our unrecognized tax benefits, we are unable to make reasonably reliable estimates of the period of cash settlement, if any, with the respective taxing authorities. For further information related to our unrecognized tax benefits, see Note 6, "Income Taxes," for additional information.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We prepare our consolidated financial statements in conformity with U.S. GAAP. This requires management to make estimates and assumptions that affect reported amounts and related disclosures. Actual results could differ from those estimates. The following estimates are considered by management to be the most critical in understanding judgments involved in the preparation of our consolidated financial statements and uncertainties that could impact our results of operations, financial position and cash flow.</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 into contracts with our customers generally at the beginning of a vehicle's lifecycle. Typically, these contracts do not provide for a specified quantity of products, but once entered into, we are often expected to fulfill our customers' purchasing requirements for the life of the vehicle. These contracts may be terminated by our customers at any time. Historically, terminations of these contracts have been infrequent.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Throughout a vehicle's lifecycle, we receive purchase orders from our customers, which provide the commercial terms for a sale transaction. Revenue is typically recognized at a point in time based on the transaction price and the quantity of parts shipped to the customer. Discrete price adjustments may occur during the vehicle production period in order for us to remain competitive with market prices or based on changes in product specifications or based on changes in significant input costs for the products. In the event the Company concludes that a portion of the revenue for a given product may vary from the purchase order, we record consideration at the most likely amount to which we expect to be entitled based on historical experience and input from customer negotiations.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Warranty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 warranty reserve recorded related to our exposure to warranty claims in the event our products fail to perform as expected, and we may be required to participate in the repair costs incurred by our customers for such products. The recorded warranty reserve balance involves judgment and estimates. Our reserve estimate is based on an analysis of historical warranty data as well as current trends and information. Actual warranty costs might differ from estimates due to the level of actual claims varying from our historical claims experience and estimates and final negotiations and settlements reached with our customers. Therefore, future actual claims experience could result in changes in our estimates of the required reserve. Sensitivity of potential warranty claims is dependent on the respective customer platform, volumes, production years and product content.</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Income Tax</w:t>
      </w:r>
    </w:p>
    <w:p>
      <w:pPr>
        <w:pStyle w:val="TextBody"/>
        <w:bidi w:val="0"/>
        <w:jc w:val="both"/>
        <w:rPr>
          <w:rFonts w:ascii="Times New Roman" w:hAnsi="Times New Roman"/>
          <w:color w:val="000000"/>
          <w:sz w:val="20"/>
        </w:rPr>
      </w:pPr>
      <w:r>
        <w:rPr>
          <w:rFonts w:ascii="Times New Roman" w:hAnsi="Times New Roman"/>
          <w:color w:val="000000"/>
          <w:sz w:val="20"/>
        </w:rPr>
        <w:t xml:space="preserve">Judgment is required to determine the annual effective income tax rate, deferred tax assets and liabilities, reserves for unrecognized tax benefits and any valuation allowances recorded against net deferred tax assets. Our effective income tax rate is based on annual income, statutory tax rates, tax planning opportunities available in the various jurisdictions in which we operate and other adjustments. Tax regulations require items to be included in our tax returns at different times than these same items are reflected in our consolidated financial statements. </w:t>
      </w:r>
    </w:p>
    <w:p>
      <w:pPr>
        <w:pStyle w:val="TextBody"/>
        <w:bidi w:val="0"/>
        <w:jc w:val="both"/>
        <w:rPr>
          <w:rFonts w:ascii="Times New Roman" w:hAnsi="Times New Roman"/>
          <w:color w:val="000000"/>
          <w:sz w:val="20"/>
        </w:rPr>
      </w:pPr>
      <w:r>
        <w:rPr>
          <w:rFonts w:ascii="Times New Roman" w:hAnsi="Times New Roman"/>
          <w:color w:val="000000"/>
          <w:sz w:val="20"/>
        </w:rPr>
        <w:t>As a result, these differences and the interplay in tax laws between jurisdictions may cause our estimates of income tax liabilities to differ from actual payments or assessments. Some of these differences are permanent, such as expenses that are not tax deductible, while others are temporary differences, such as amortization and depreciation expenses. Temporary differences create deferred tax assets and liabilities, which are measured using enacted tax rates expected to apply to taxable income in the years in which those temporary differences are expected to be recovered or settled. We establish valuation allowances for our deferred tax assets when the amount of expected future taxable income is not large enough to utilize the entire deduction or credit. Relevant factors in determining the realizability of deferred tax assets include future taxable income, the expected timing of the reversal of temporary differences, tax planning strategies and the expiration dates of the various tax attributes.</w:t>
      </w:r>
    </w:p>
    <w:p>
      <w:pPr>
        <w:pStyle w:val="TextBody"/>
        <w:bidi w:val="0"/>
        <w:jc w:val="both"/>
        <w:rPr>
          <w:rFonts w:ascii="Times New Roman" w:hAnsi="Times New Roman"/>
          <w:color w:val="000000"/>
          <w:sz w:val="20"/>
        </w:rPr>
      </w:pPr>
      <w:r>
        <w:rPr>
          <w:rFonts w:ascii="Times New Roman" w:hAnsi="Times New Roman"/>
          <w:color w:val="000000"/>
          <w:sz w:val="20"/>
        </w:rPr>
        <w:t>While we have support for the positions taken on tax returns, taxing authorities may assert different interpretations of laws and facts and may challenge cross-jurisdictional transactions. We assess our income tax positions and record tax liabilities for all years subject to examination based upon management’s evaluation of the facts and circumstances and information available at the reporting dates. For those tax positions which do not meet the more-likely-than-not threshold regarding the ultimate realization of the related tax benefit, no tax benefit has been recorded in the financial statements.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Post-employment Benefits</w:t>
      </w:r>
    </w:p>
    <w:p>
      <w:pPr>
        <w:pStyle w:val="TextBody"/>
        <w:bidi w:val="0"/>
        <w:jc w:val="both"/>
        <w:rPr>
          <w:rFonts w:ascii="Times New Roman" w:hAnsi="Times New Roman"/>
          <w:color w:val="000000"/>
          <w:sz w:val="20"/>
        </w:rPr>
      </w:pPr>
      <w:r>
        <w:rPr>
          <w:rFonts w:ascii="Times New Roman" w:hAnsi="Times New Roman"/>
          <w:color w:val="000000"/>
          <w:sz w:val="20"/>
        </w:rPr>
        <w:t>We have post-employment liabilities, including a supplemental executive retirement plan, termination indemnity plans and seniority premium obligations that are developed from actuarial valuations. These valuations include key assumptions regarding discount rates, expected return on plan assets and rate of compensation increases. We consider current market conditions in selecting these assumptions. While the Company believes that these assumptions are appropriate, significant differences in actual experience or significant changes in assumptions may materially affect the Company's liability or future expense.</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4" w:name="item_7a__quantitative_qualitative_disclo"/>
      <w:bookmarkEnd w:id="14"/>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exposed to market risks in the normal course of business, primarily from changes in interest rates, foreign currency exchange rates, and prices of certain production materials. The disclosures below relate to market risk sensitive instruments and other exposures we believe are material to our business. We do not enter into derivative instruments for trading or speculative purposes.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Interest Rate Risk</w:t>
      </w:r>
    </w:p>
    <w:p>
      <w:pPr>
        <w:pStyle w:val="TextBody"/>
        <w:bidi w:val="0"/>
        <w:jc w:val="both"/>
        <w:rPr>
          <w:rFonts w:ascii="Times New Roman" w:hAnsi="Times New Roman"/>
          <w:color w:val="000000"/>
          <w:sz w:val="20"/>
        </w:rPr>
      </w:pPr>
      <w:r>
        <w:rPr>
          <w:rFonts w:ascii="Times New Roman" w:hAnsi="Times New Roman"/>
          <w:color w:val="000000"/>
          <w:sz w:val="20"/>
        </w:rPr>
        <w:t>We are exposed to interest rate risk if we borrow under our revolving credit facilities. There were no outstanding borrowings under the revolving credit facility at June 28, 2026. Refer to Note 3, “Debt,” in the Notes to Consolidated Financial Statements for more information on interest rates.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Commodity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exposed to market risk from changes in the prices of production materials, principally steel, zinc, resins and plastics, which are significant inputs to our products. Our exposure to these costs is managed primarily through commercial arrangements rather than financial instruments. For certain commodities, the Company has entered into purchase or sales agreements under which pricing is adjusted by reference to published market indices, which serves to align a portion of our raw material cost movements with corresponding adjustments in the prices charged to, or paid by, customers and suppliers and thereby reduces our net exposure for those commodities. Index-based adjustments and customer recoveries are subject to timing lags, periodic reset provisions, and negotiation, and a portion of our commodity purchases is not covered by index-based or pass-through arrangements. As a result, there can be no assurance that we will recover all increases in production material costs from customers or recover them in the period in which the costs are incurred.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Foreign Currency Risk</w:t>
      </w:r>
    </w:p>
    <w:p>
      <w:pPr>
        <w:pStyle w:val="TextBody"/>
        <w:bidi w:val="0"/>
        <w:jc w:val="both"/>
        <w:rPr>
          <w:rFonts w:ascii="Times New Roman" w:hAnsi="Times New Roman"/>
          <w:color w:val="000000"/>
          <w:sz w:val="20"/>
        </w:rPr>
      </w:pPr>
      <w:r>
        <w:rPr>
          <w:rFonts w:ascii="Times New Roman" w:hAnsi="Times New Roman"/>
          <w:color w:val="000000"/>
          <w:sz w:val="20"/>
        </w:rPr>
        <w:t>We have international operations, including significant operations in Mexico, which expose us to foreign currency exchange rate risk. A portion of our manufacturing costs is denominated in Mexican pesos, and changes in the U.S. dollar/Mexican peso exchange rate affect our results of operations and cash flows. A hypothetical 10% strengthening or weakening of the U.S. dollar relative to the Mexican peso would have affected fiscal 2026 cost of goods sold by approximately $7.0 million. This sensitivity analysis is based on peso-denominated operating costs incurred during fiscal 2026 and does not reflect the potential impact of pricing actions, productivity initiatives, customer recoveries, or other mitigating actions. We also use foreign currency forward contracts to mitigate a portion of this exposure, and therefore actual results may differ from the sensitivity analysis presented above.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translate the assets and liabilities of foreign operations where the U.S. dollar is not the functional currency at period-end exchange rates and translate expenses at average exchange rates in effect during the period. The resulting translation adjustments are recorded as a component of accumulated other comprehensive loss. Foreign currency translation adjustments were a gain of $2.7 million in fiscal 2026 and a loss of $1.2 million in fiscal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manage a portion of our short-term foreign currency exposure, principally related to peso-denominated operating costs, we enter into Mexican peso forward contracts. These contracts are not designated as hedges for accounting purposes and are not used for trading or speculative purposes. The contracts are recorded at fair value in the consolidated balance sheets, and changes in fair value are recognized in Other income, net. At June 28, 2026 and June 29, 2025, the aggregate notional amounts of outstanding foreign currency forward contracts were $92.3 million and $32.0 million, respectively. We recognized net gains on these contracts of $4.6 million, $1.9 million, and $0.9 million in fiscal 2026, 2025, and 2024,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Separately, net foreign currency transaction gains (losses) arising from the remeasurement of monetary assets and liabilities denominated in currencies other than the functional currency were $(1.6) million, $(0.6) million and $2.2 million in fiscal 2026, 2025 and 2024, respectively.</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8__financial_statements_supplementa"/>
      <w:bookmarkEnd w:id="15"/>
      <w:r>
        <w:rPr>
          <w:rFonts w:ascii="Times New Roman" w:hAnsi="Times New Roman"/>
          <w:b/>
          <w:color w:val="000000"/>
          <w:sz w:val="20"/>
        </w:rPr>
        <w:t>ITEM 8. FINANCIAL STATEMENTS AND SUPPLEMENTARY DATA</w:t>
      </w:r>
    </w:p>
    <w:p>
      <w:pPr>
        <w:pStyle w:val="TextBody"/>
        <w:bidi w:val="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shareholders and the Board of Directors of Strattec Security Corporation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audited the accompanying consolidated balance sheets of Strattec Security Corporation and subsidiaries (the "Company") as of June 28, 2026, and June 29, 2025, the related consolidated statements of income and comprehensive income, shareholders' equity, and cash flows, for the fiscal years ended June 28, 2026, June 29, 2025, and June 30, 2024 and the related notes and the schedule listed in the Index at Item 15 ⁠(collectively referred to as the "financial statements"). In our opinion, the financial statements present fairly, in all material respects, the financial position of the Company as of June 28, 2026 and June 29, 2025, and the results of its operations and its cash flows for the fiscal years ended June 28, 2026, June 29, 2025, and June 30, 2024 in conformity with accounting principles generally accepted in the United States of America.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June 28, 2026, based on criteria established in Internal Control — Integrated Framework (2013) issued by the Committee of Sponsoring Organizations of the Treadway Commission and our report dated August 28, 2026, expressed an unqualified opinion on the Company's internal control over financial reporting.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 Warranty Reserve – Refer to Note 2 to the Financial Statements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records a general warranty reserve for potential exposure to warranty claims in the event its products fail to perform as expected and when it is probable that they will participate in the repair costs incurred by its customers for such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warranty reserve is estimated based on management’s analysis of historical warranty data, current trends and information, projected claims for products sold, and the terms of specific agreements. The general warranty reserve requires management to apply significant judgment to develop its estimate. Actual warranty costs may differ from management’s estimated costs as a result of, but not limited to, negotiation with customers, changes to the assumptions of repair and/or replacement costs, and repair rate. Such matters may require future adjustments to the reserve which could be material.</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identified the general warranty reserve as a critical audit matter because estimating future warranty costs requires significant judgment by management. Auditing management’s assumptions about management’s estimated future warranty costs involves a high degree of auditor judgment and an increased extent of effort to evaluate the reasonableness of management’s estimates.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audit procedures related to the determination of the general warranty reserve included the following, among others: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We tested the effectiveness of internal controls relating to management’s process for developing the assumptions and inputs used to estimate the general 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We evaluated the methods and significant assumptions, including the frequency and average cost of warranty claims, used by management to estimate the general warranty reserve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Evaluating the methodology used to determine the general warranty reserve in order to understand how key assumptions were developed.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accuracy of the underlying data that served as the basis for the analysis, including historical failure rates and costs to repair, share rates agreed upon with the customers, and units sold.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completeness of the general warranty reserve by conducting inquiries of operational and executive management regarding knowledge of product issues and evaluating whether they were appropriately considered in the determination of the general 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Testing the mathematical accuracy of management’s calculation of the general warranty reserve.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Milwaukee, Wisconsin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August 28,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shareholders and the Board of Directors of Strattec Security 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have audited the internal control over financial reporting of Strattec Security Corporation and subsidiaries (the "Company") as of June 28, 2026,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June 28, 2026,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consolidated financial statements as of and for the year ended June 28, 2026 of the Company and our report dated August 28, 2026 expressed an unqualified opinion on those financial statements.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color w:val="000000"/>
          <w:sz w:val="20"/>
        </w:rPr>
        <w:t>Management's Annual Report</w:t>
      </w:r>
      <w:r>
        <w:rPr>
          <w:rFonts w:ascii="Times New Roman" w:hAnsi="Times New Roman"/>
          <w:color w:val="000000"/>
          <w:sz w:val="20"/>
        </w:rPr>
        <w:t xml:space="preserve">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Milwaukee, Wisconsin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August 28, 2026</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6" w:name="consolidated_statement_income"/>
      <w:bookmarkEnd w:id="16"/>
      <w:r>
        <w:rPr>
          <w:rFonts w:ascii="Times New Roman" w:hAnsi="Times New Roman"/>
          <w:b/>
          <w:color w:val="000000"/>
          <w:sz w:val="20"/>
        </w:rPr>
        <w:t>CONSOLIDATED STATEMENTS OF INCOME</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 except per share amounts)</w:t>
      </w:r>
    </w:p>
    <w:tbl>
      <w:tblPr>
        <w:tblW w:w="9347" w:type="dxa"/>
        <w:jc w:val="left"/>
        <w:tblInd w:w="0" w:type="dxa"/>
        <w:tblLayout w:type="fixed"/>
        <w:tblCellMar>
          <w:top w:w="28" w:type="dxa"/>
          <w:left w:w="28" w:type="dxa"/>
          <w:bottom w:w="28" w:type="dxa"/>
          <w:right w:w="28" w:type="dxa"/>
        </w:tblCellMar>
      </w:tblPr>
      <w:tblGrid>
        <w:gridCol w:w="4811"/>
        <w:gridCol w:w="146"/>
        <w:gridCol w:w="239"/>
        <w:gridCol w:w="886"/>
        <w:gridCol w:w="166"/>
        <w:gridCol w:w="146"/>
        <w:gridCol w:w="239"/>
        <w:gridCol w:w="886"/>
        <w:gridCol w:w="166"/>
        <w:gridCol w:w="146"/>
        <w:gridCol w:w="239"/>
        <w:gridCol w:w="886"/>
        <w:gridCol w:w="3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administrative and engineering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 and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7" w:name="comprehensive_income"/>
      <w:bookmarkEnd w:id="17"/>
      <w:r>
        <w:rPr>
          <w:rFonts w:ascii="Times New Roman" w:hAnsi="Times New Roman"/>
          <w:b/>
          <w:color w:val="000000"/>
          <w:sz w:val="20"/>
        </w:rPr>
        <w:t>CONSOLIDATED STATEMENTS OF COMPREHENSIVE INCOME</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620"/>
        <w:gridCol w:w="146"/>
        <w:gridCol w:w="264"/>
        <w:gridCol w:w="850"/>
        <w:gridCol w:w="146"/>
        <w:gridCol w:w="146"/>
        <w:gridCol w:w="264"/>
        <w:gridCol w:w="850"/>
        <w:gridCol w:w="166"/>
        <w:gridCol w:w="146"/>
        <w:gridCol w:w="264"/>
        <w:gridCol w:w="850"/>
        <w:gridCol w:w="493"/>
      </w:tblGrid>
      <w:tr>
        <w:trPr/>
        <w:tc>
          <w:tcPr>
            <w:tcW w:w="5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and postretirement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8" w:name="consolidated_balance_sheets"/>
      <w:bookmarkEnd w:id="18"/>
      <w:r>
        <w:rPr>
          <w:rFonts w:ascii="Times New Roman" w:hAnsi="Times New Roman"/>
          <w:b/>
          <w:color w:val="000000"/>
          <w:sz w:val="20"/>
        </w:rPr>
        <w:t>CONSOLIDATED BALANCE SHEETS</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 except share amounts and per share amounts)</w:t>
      </w:r>
    </w:p>
    <w:tbl>
      <w:tblPr>
        <w:tblW w:w="10075" w:type="dxa"/>
        <w:jc w:val="left"/>
        <w:tblInd w:w="0" w:type="dxa"/>
        <w:tblLayout w:type="fixed"/>
        <w:tblCellMar>
          <w:top w:w="28" w:type="dxa"/>
          <w:left w:w="28" w:type="dxa"/>
          <w:bottom w:w="28" w:type="dxa"/>
          <w:right w:w="28" w:type="dxa"/>
        </w:tblCellMar>
      </w:tblPr>
      <w:tblGrid>
        <w:gridCol w:w="6576"/>
        <w:gridCol w:w="146"/>
        <w:gridCol w:w="225"/>
        <w:gridCol w:w="900"/>
        <w:gridCol w:w="166"/>
        <w:gridCol w:w="146"/>
        <w:gridCol w:w="225"/>
        <w:gridCol w:w="900"/>
        <w:gridCol w:w="791"/>
      </w:tblGrid>
      <w:tr>
        <w:trPr/>
        <w:tc>
          <w:tcPr>
            <w:tcW w:w="6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Pre-production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Value added tax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Land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205,538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Value added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authorized 18,000,000 shares, $.01 par value, 7,704,994</w:t>
              <w:br/>
              <w:t>   issued shares at June 28, 2026 and 7,635,883 issued shares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Less: treasury stock, at cost (3,727,322 shares at June 28, 2026 and </w:t>
              <w:br/>
              <w:t>   3,596,549 shares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Strattec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221,592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19" w:name="consolidated_statements_shareholders_equ"/>
      <w:bookmarkEnd w:id="19"/>
      <w:r>
        <w:rPr>
          <w:rFonts w:ascii="Times New Roman" w:hAnsi="Times New Roman"/>
          <w:b/>
          <w:color w:val="000000"/>
          <w:sz w:val="20"/>
        </w:rPr>
        <w:t>CONSOLIDATED STATEMENTS OF SHAREHOLDERS’ EQUITY</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w:t>
      </w:r>
    </w:p>
    <w:tbl>
      <w:tblPr>
        <w:tblW w:w="11150" w:type="dxa"/>
        <w:jc w:val="left"/>
        <w:tblInd w:w="0" w:type="dxa"/>
        <w:tblLayout w:type="fixed"/>
        <w:tblCellMar>
          <w:top w:w="28" w:type="dxa"/>
          <w:left w:w="28" w:type="dxa"/>
          <w:bottom w:w="28" w:type="dxa"/>
          <w:right w:w="28" w:type="dxa"/>
        </w:tblCellMar>
      </w:tblPr>
      <w:tblGrid>
        <w:gridCol w:w="1416"/>
        <w:gridCol w:w="146"/>
        <w:gridCol w:w="298"/>
        <w:gridCol w:w="528"/>
        <w:gridCol w:w="146"/>
        <w:gridCol w:w="146"/>
        <w:gridCol w:w="196"/>
        <w:gridCol w:w="691"/>
        <w:gridCol w:w="166"/>
        <w:gridCol w:w="146"/>
        <w:gridCol w:w="196"/>
        <w:gridCol w:w="691"/>
        <w:gridCol w:w="146"/>
        <w:gridCol w:w="146"/>
        <w:gridCol w:w="298"/>
        <w:gridCol w:w="1008"/>
        <w:gridCol w:w="166"/>
        <w:gridCol w:w="146"/>
        <w:gridCol w:w="196"/>
        <w:gridCol w:w="751"/>
        <w:gridCol w:w="166"/>
        <w:gridCol w:w="146"/>
        <w:gridCol w:w="324"/>
        <w:gridCol w:w="997"/>
        <w:gridCol w:w="166"/>
        <w:gridCol w:w="146"/>
        <w:gridCol w:w="258"/>
        <w:gridCol w:w="913"/>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 in Excess 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funded status adjustment, net of tax of $59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former joint venture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funded status adjustment, net of tax of $82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June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Pension and postretirement funded status adjustment, net of tax of $89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withheld for taxes on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 under share repurchase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20" w:name="consolidated_statements_cash_flows"/>
      <w:bookmarkEnd w:id="20"/>
      <w:r>
        <w:rPr>
          <w:rFonts w:ascii="Times New Roman" w:hAnsi="Times New Roman"/>
          <w:b/>
          <w:color w:val="000000"/>
          <w:sz w:val="20"/>
        </w:rPr>
        <w:t>CONSOLIDATED STATEMENTS OF CASH FLOWS</w:t>
      </w:r>
    </w:p>
    <w:p>
      <w:pPr>
        <w:pStyle w:val="TextBody"/>
        <w:pBdr>
          <w:bottom w:val="single" w:sz="12" w:space="1" w:color="000000"/>
        </w:pBdr>
        <w:bidi w:val="0"/>
        <w:jc w:val="left"/>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340"/>
        <w:gridCol w:w="146"/>
        <w:gridCol w:w="234"/>
        <w:gridCol w:w="868"/>
        <w:gridCol w:w="166"/>
        <w:gridCol w:w="146"/>
        <w:gridCol w:w="257"/>
        <w:gridCol w:w="827"/>
        <w:gridCol w:w="166"/>
        <w:gridCol w:w="146"/>
        <w:gridCol w:w="243"/>
        <w:gridCol w:w="851"/>
        <w:gridCol w:w="815"/>
      </w:tblGrid>
      <w:tr>
        <w:trPr/>
        <w:tc>
          <w:tcPr>
            <w:tcW w:w="5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transaction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(gain) on peso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interest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under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 under share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taxes withheld from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impact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capital expenditures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bookmarkStart w:id="21" w:name="notes_to_financial_statements"/>
      <w:bookmarkEnd w:id="21"/>
      <w:r>
        <w:rPr>
          <w:rFonts w:ascii="Times New Roman" w:hAnsi="Times New Roman"/>
          <w:b/>
          <w:color w:val="000000"/>
          <w:sz w:val="20"/>
        </w:rPr>
        <w:t>NOTES TO CONSOLIDATED FINANCIAL STATEMENTS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 ORGANIZATION AND NATURE OF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Strattec Security Corporation (the "Company" or “Strattec”), headquartered in Milwaukee, Wisconsin, is a leading global manufacturer and provider of highly engineered advanced automotive access and security products and solutions. Products include power access solutions, locks &amp; locksets, keys &amp; fobs, engineered latches, vehicle start systems, door handles, and other vehicle access products. Power access solutions provide the motion control for power liftgates, sliding power doors and power tailgates. While the Company serves major automotive original equipment manufacturers (“OEMs”) globally, the majority of sales are to the three largest OEMs in North America.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Principles of Consolidation and Basis of Presentation</w:t>
      </w:r>
    </w:p>
    <w:p>
      <w:pPr>
        <w:pStyle w:val="TextBody"/>
        <w:bidi w:val="0"/>
        <w:jc w:val="both"/>
        <w:rPr>
          <w:rFonts w:ascii="Times New Roman" w:hAnsi="Times New Roman"/>
          <w:color w:val="000000"/>
          <w:sz w:val="20"/>
        </w:rPr>
      </w:pPr>
      <w:r>
        <w:rPr>
          <w:rFonts w:ascii="Times New Roman" w:hAnsi="Times New Roman"/>
          <w:color w:val="000000"/>
          <w:sz w:val="20"/>
        </w:rPr>
        <w:t>The accompanying consolidated financial statements of the Company have been prepared in accordance with United States generally accepted accounting principles (U.S. GAAP) and reflect the consolidated results of Strattec. All significant intercompany transactions and balances have been eliminated in consolidation. The Company's fiscal year ends on the Sunday nearest June 30. The years ended June 28, 2026, June 29, 2025, and June 30, 2024 are each comprised of 52 weeks.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liabilities, revenue and expenses for the periods presented. These estimates and assumptions could also affect the disclosure of contingencies. Actual results and outcomes may differ from management’s estimates and assumptions.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jc w:val="both"/>
        <w:rPr>
          <w:rFonts w:ascii="Times New Roman" w:hAnsi="Times New Roman"/>
          <w:color w:val="000000"/>
          <w:sz w:val="20"/>
        </w:rPr>
      </w:pPr>
      <w:r>
        <w:rPr>
          <w:rFonts w:ascii="Times New Roman" w:hAnsi="Times New Roman"/>
          <w:color w:val="000000"/>
          <w:sz w:val="20"/>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Company adopted this standard prospectively with the additional and enhanced disclosures presented in Note 6,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and cash equivalents include all short-term investments with an original maturity of three months or less due to the short-term nature of the instruments. Excess cash balances are invested in money market funds.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Receivables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Receivables are stated net of an allowance for credit losses. The collectability of receivables is evaluated on an ongoing basis. An allowance for credit losses is recorded for estimated amounts of receivables not expected to be collected based upon factors such as age of the outstanding receivables, historical payment experience, customer creditworthiness and general economic conditions.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Inventories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Inventories are comprised of material, direct labor and manufacturing overhead, and are stated at lower of cost or net realizable value using the first-in, first-out (“FIFO”) cost method.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Excess and obsolete inventory reserves are recorded based on historical and estimated future demand and market conditions. The reserve level is determined by comparing inventory levels of individual raw materials, components and finished goods to historical usage and assessing the age of the inventory and likelihood of future sales. Technical obsolescence and other known factors are also considered in evaluating the reserve level.</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Pre-production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incurs costs related to tooling used in the manufacture of products sold to its customers and engineering development. In some cases, the Company enters into contracts with its customers whereby the Company incurs the costs to design, develop and purchase tooling and is then reimbursed by the customer under a reimbursement contract. In addition, certain customer contracts include reimbursement of engineering development costs. Tooling costs and engineering development costs that will be reimbursed by customers are included in other Pre-production Costs in the accompanying consolidated balance sheets at lower of accumulated cost or the customer reimbursable amount. To the extent that costs incurred exceed the contractual reimbursement, amounts are recognized as expense in the accompanying consolidated income statement when incurred.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Value-Added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Mexican subsidiaries are subject to value-added tax (“VAT”). VAT is paid on goods and services and collected on sales. A VAT certification generally allows for relief from VAT tax for temporarily imported goods.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Property, Plant and Equipment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Property, plant and equipment are stated at cost. Plant and equipment are depreciated on a straight-line basis over the estimated useful lives of the assets. Land improvements have an estimated useful life of 20 years, while buildings and improvements range from 15 to 35 years, and machinery and equipment range from 3 to 15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Long-lived assets are reviewed for impairment whenever events or changes in circumstances indicate that the carrying amount of an asset may not be recoverable. If such indicators are present, the recoverability of assets is assessed by a comparison of the carrying amount of an asset to future net undiscounted cash flows expected to be generated by the asset. If an asset is determined to not be recoverable, the impairment recognized is calculated as the excess of the carrying amount of the asset over the fair value of the asset.</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determines whether a contractual arrangement is or contains a lease at contract inception. A lease liability and corresponding right-of-use asset are measured and recognized based on the present value of lease payments. To determine the present value of lease payments, the Company uses its incremental borrowing rate as of the lease commencement date, unless there is a rate implicit in the lease agreement. The incremental borrowing rate is based on the Company's credit rating, determined on a fully collateralized loan basis from information available at commencement date, and the duration of the lease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Operating lease assets are included in operating lease right-of-use assets and the related liabilities are included in current lease liabilities and non-current lease liabilities in the accompanying consolidated balance sheets. For all classes of underlying assets, the Company accounts for leases that contain separate lease and non-lease components as containing a single lease component. The Company does not recognize lease right-of-use assets and lease liabilities from leases with an original lease term of twelve months or less and, instead, recognizes rent payments on a straight-line basis over the lease term in the consolidated statements of income. Refer to Note 5, "Leases," for additional information.</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Expenditures relating to the development of new products and processes, including significant improvements and refinements to existing products, are expensed as incurred. Research and development expenditures were $21.8 million in 2026, $21.7 million in 2025, and $14.8 million in 2024.</w:t>
      </w:r>
    </w:p>
    <w:p>
      <w:pPr>
        <w:pStyle w:val="TextBody"/>
        <w:bidi w:val="0"/>
        <w:jc w:val="both"/>
        <w:rPr>
          <w:rFonts w:ascii="Times New Roman" w:hAnsi="Times New Roman"/>
          <w:i/>
          <w:color w:val="000000"/>
          <w:sz w:val="20"/>
        </w:rPr>
      </w:pPr>
      <w:r>
        <w:rPr>
          <w:rFonts w:ascii="Times New Roman" w:hAnsi="Times New Roman"/>
          <w:i/>
          <w:color w:val="000000"/>
          <w:sz w:val="20"/>
        </w:rPr>
        <w:t>Derivative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Derivative financial instruments are recognized as either assets or liabilities at fair value. The accounting for changes in 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enters into currency forward contracts covering a portion of peso denominated operating costs. The objective in entering into these contracts was to minimize earnings volatility resulting from changes in foreign currency exchange rates, specifically the Mexican peso. These currency forward contracts are not designated as hedges and, therefore, changes in fair value are recognized in Other income, net on the consolidated income statement.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Fair Value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assesses the inputs used to measure the fair value of financial assets and liabilities using a three-tier hierarchy: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Observable inputs that reflect quoted prices for identical assets or liabilities in active markets that we have the ability to access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xml:space="preserve">-- Observable inputs, other than quoted prices included in Level 1, for the asset or liability or prices for similar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Unobservable inputs that include management’s own judgments about the assumptions market participants would use in pricing an asset or liability.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fair value of the Company's cash and cash equivalents, accounts receivable, post-employment plan assets, accounts payable and variable rate borrowings under revolving credit agreements approximated the book value at June 28, 2026 and June 29, 2025, due to their short-term nature and the fact that the interest rates, as applicable, approximated market rates. The fair value of all derivative instruments were based on quoted inactive market prices and therefore are classified as Level 2 within the valuation hierarchy.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Warranty Reserve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estimates related to pre-existing warranties are included in provision charged to expense in the table below. Changes in the warranty reserve were as follows (in thousands):</w:t>
      </w:r>
    </w:p>
    <w:tbl>
      <w:tblPr>
        <w:tblW w:w="7042" w:type="dxa"/>
        <w:jc w:val="left"/>
        <w:tblInd w:w="0" w:type="dxa"/>
        <w:tblLayout w:type="fixed"/>
        <w:tblCellMar>
          <w:top w:w="28" w:type="dxa"/>
          <w:left w:w="28" w:type="dxa"/>
          <w:bottom w:w="28" w:type="dxa"/>
          <w:right w:w="28" w:type="dxa"/>
        </w:tblCellMar>
      </w:tblPr>
      <w:tblGrid>
        <w:gridCol w:w="2606"/>
        <w:gridCol w:w="146"/>
        <w:gridCol w:w="282"/>
        <w:gridCol w:w="843"/>
        <w:gridCol w:w="166"/>
        <w:gridCol w:w="146"/>
        <w:gridCol w:w="267"/>
        <w:gridCol w:w="858"/>
        <w:gridCol w:w="166"/>
        <w:gridCol w:w="146"/>
        <w:gridCol w:w="267"/>
        <w:gridCol w:w="858"/>
        <w:gridCol w:w="29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 from Contracts with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enters into contracts with customers to provide production parts generally at the beginning of a vehicle's lifecycle. Typically, these contracts do not provide for a specified quantity of products, but once entered into, the Company is often expected to fulfill our customers' purchasing requirements for the production life of the vehicle. Many of these contracts may be terminated by our customers at any time. However, terminations of these contracts have been infrequent, historically.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Revenue is recognized at a point in time when control of the product is transferred to the customer under the terms of the contract, which is when parts are shipped or delivered. The amount of revenue recognized is based on the transaction price and the quantity of parts specified in the contract. Discrete price adjustments may occur during the vehicle production period in order for the Company to remain competitive with market prices or based on changes in product specifications. Some of these price adjustments require estimation. In the event the Company concludes that a portion of the revenue for a given part may vary from the purchase order, the Company records consideration at the most likely amount to which the Company expects to be entitled based on historical experience and input from customer negotiations. The Company's customers pay for products received in accordance with payment terms that are customary within the industry.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records income tax expense using the liability method which specifies that deferred tax assets and liabilities be measured each year based on the difference between the financial statement and tax base of assets and liabilities at the applicable enacted tax rates.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valuation allowance is provided for deferred tax assets when management considers it more likely than not that the asset will not be realized. At June 28, 2026 and June 29, 2025, a valuation allowance has been provided for certain deferred tax assets which the Company has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fifty percent likelihood of being realized upon ultimate settlement with the relevant tax authority. The Company recognizes the interest and penalties related to income tax matters in income tax expense.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Foreign Currency Translation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financial statements of the Company's foreign subsidiaries are translated into U.S. dollars using the exchange rate at each balance sheet date for assets and liabilities and the average exchange rate for each applicable period for sales, costs and expenses. Foreign currency translation adjustments are included as a component of accumulated other comprehensive loss.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recognizes the cost of equity-based compensation awards based on the fair value estimated in accordance with ASC 718, </w:t>
      </w:r>
      <w:r>
        <w:rPr>
          <w:rFonts w:ascii="Times New Roman" w:hAnsi="Times New Roman"/>
          <w:i/>
          <w:color w:val="000000"/>
          <w:sz w:val="20"/>
        </w:rPr>
        <w:t>Stock Based Compensation</w:t>
      </w:r>
      <w:r>
        <w:rPr>
          <w:rFonts w:ascii="Times New Roman" w:hAnsi="Times New Roman"/>
          <w:color w:val="000000"/>
          <w:sz w:val="20"/>
        </w:rPr>
        <w:t>. The Company records equity compensation expense for awards with only a service vesting condition based on the fair value of such awards at the grant date and recognizes compensation expense on a straight-line basis over the requisite service period. Equity compensation expense for awards with performance vesting conditions is recorded based on the probable outcome of those performance conditions over the requisite service period.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earnings per share is computed by dividing net income by the weighted average number of shares of the Company's common stock ("Common Stock") outstanding during the respective period. The Company's diluted earnings per share gives effect to all potential shares of Common Stock outstanding during a period that do not have an anti-dilutive impact to the calculation. In computing the number of diluted shares outstanding, the treasury stock method is used in order to arrive at a net number of shares assumed issued upon the conversion of Common Stock equivalents.</w:t>
      </w:r>
    </w:p>
    <w:p>
      <w:pPr>
        <w:pStyle w:val="TextBody"/>
        <w:bidi w:val="0"/>
        <w:spacing w:before="0" w:after="240"/>
        <w:jc w:val="left"/>
        <w:rPr>
          <w:rFonts w:ascii="Times New Roman" w:hAnsi="Times New Roman"/>
          <w:b/>
          <w:color w:val="000000"/>
          <w:sz w:val="20"/>
        </w:rPr>
      </w:pPr>
      <w:bookmarkStart w:id="22" w:name="fn_credit_facilities"/>
      <w:bookmarkEnd w:id="22"/>
      <w:r>
        <w:rPr>
          <w:rFonts w:ascii="Times New Roman" w:hAnsi="Times New Roman"/>
          <w:b/>
          <w:color w:val="000000"/>
          <w:sz w:val="20"/>
        </w:rPr>
        <w:t>NOTE 3. CREDIT FACILITIES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27, 2025, the Company entered into a new revolving credit agreement with BMO Harris N.A. ("Amended &amp; Restated Credit Agreement"), to replace the existing $40 million Strattec Credit Facility. The Amended &amp; Restated Credit Agreement provides for a $40 million revolving line of credit maturing October 2028. The facility bears interest at varying rates based on the bank's prime rate or SOFR plus 1.50%. There were no outstanding borrowings on the facility during fiscal 2026. The credit facility is secured by U.S. cash balances, accounts receivable, inventory, and fixed assets located in the U.S. and contains a restrictive financial covenant that requires a minimum net worth level.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Company's joint venture, ADAC-Strattec LLC, entered into a revolving credit agreement with BMO Harris N.A. (the "Amended &amp; Restated JV Credit Facility") on April 30, 2026, which provides for a $10 million asset-based revolving line of credit, subject to a borrowing base, maturing October 2028. The Amended &amp; Restated JV Credit Facility bears interest at varying rates based on the bank's prime rate plus 1.00% or SOFR plus 1.75%. The Amended &amp; Restated JV Credit Facility replaces the previous joint venture facility, which was terminated upon the closing of the agreement. The credit facility is secured by substantially all of the joint venture's assets and contains restrictive financial covenants that require a minimum net worth level and a minimum fixed charge coverage ratio.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28, 2026 and June 29, 2025, the Company was in compliance with all financial covenants.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Outstanding borrowings under the joint venture credit agreements were as follows (in thousands):</w:t>
      </w:r>
    </w:p>
    <w:tbl>
      <w:tblPr>
        <w:tblW w:w="5165" w:type="dxa"/>
        <w:jc w:val="left"/>
        <w:tblInd w:w="0" w:type="dxa"/>
        <w:tblLayout w:type="fixed"/>
        <w:tblCellMar>
          <w:top w:w="28" w:type="dxa"/>
          <w:left w:w="28" w:type="dxa"/>
          <w:bottom w:w="28" w:type="dxa"/>
          <w:right w:w="28" w:type="dxa"/>
        </w:tblCellMar>
      </w:tblPr>
      <w:tblGrid>
        <w:gridCol w:w="2186"/>
        <w:gridCol w:w="146"/>
        <w:gridCol w:w="629"/>
        <w:gridCol w:w="496"/>
        <w:gridCol w:w="146"/>
        <w:gridCol w:w="146"/>
        <w:gridCol w:w="303"/>
        <w:gridCol w:w="822"/>
        <w:gridCol w:w="2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Average outstanding borrowings and the weighted average interest rate under the joint venture credit agreements were as follows (in thousands, except percentages):</w:t>
      </w:r>
    </w:p>
    <w:tbl>
      <w:tblPr>
        <w:tblW w:w="6005" w:type="dxa"/>
        <w:jc w:val="left"/>
        <w:tblInd w:w="0" w:type="dxa"/>
        <w:tblLayout w:type="fixed"/>
        <w:tblCellMar>
          <w:top w:w="28" w:type="dxa"/>
          <w:left w:w="28" w:type="dxa"/>
          <w:bottom w:w="28" w:type="dxa"/>
          <w:right w:w="28" w:type="dxa"/>
        </w:tblCellMar>
      </w:tblPr>
      <w:tblGrid>
        <w:gridCol w:w="2876"/>
        <w:gridCol w:w="146"/>
        <w:gridCol w:w="303"/>
        <w:gridCol w:w="822"/>
        <w:gridCol w:w="271"/>
        <w:gridCol w:w="146"/>
        <w:gridCol w:w="267"/>
        <w:gridCol w:w="858"/>
        <w:gridCol w:w="316"/>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Average 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DERIVATIVE INSTRUMENTS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aggregate notional amounts of outstanding foreign currency forward contracts were $92.3 million and $32.0 million at June 28, 2026 and June 29, 2025, respectively. The fair values of derivative instruments not designated as hedging instruments recorded in our consolidated balance sheets were as follows (in thousands):</w:t>
      </w:r>
    </w:p>
    <w:tbl>
      <w:tblPr>
        <w:tblW w:w="5315" w:type="dxa"/>
        <w:jc w:val="left"/>
        <w:tblInd w:w="0" w:type="dxa"/>
        <w:tblLayout w:type="fixed"/>
        <w:tblCellMar>
          <w:top w:w="28" w:type="dxa"/>
          <w:left w:w="28" w:type="dxa"/>
          <w:bottom w:w="28" w:type="dxa"/>
          <w:right w:w="28" w:type="dxa"/>
        </w:tblCellMar>
      </w:tblPr>
      <w:tblGrid>
        <w:gridCol w:w="2416"/>
        <w:gridCol w:w="146"/>
        <w:gridCol w:w="303"/>
        <w:gridCol w:w="822"/>
        <w:gridCol w:w="166"/>
        <w:gridCol w:w="146"/>
        <w:gridCol w:w="303"/>
        <w:gridCol w:w="822"/>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23" w:name="fn_leases"/>
      <w:bookmarkEnd w:id="23"/>
      <w:r>
        <w:rPr>
          <w:rFonts w:ascii="Times New Roman" w:hAnsi="Times New Roman"/>
          <w:b/>
          <w:color w:val="000000"/>
          <w:sz w:val="20"/>
        </w:rPr>
        <w:t>NOTE 5. LEASES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has one operating lease for its El Paso, Texas distribution warehouse. Operating lease expense was $951,000, $951,000, and $989,000 for fiscal years of 2026, 2025 and 2024, respectively. The operating lease asset and obligation related to our operating lease included in the accompanying consolidated balance sheets are presented below (in thousands):</w:t>
      </w:r>
    </w:p>
    <w:tbl>
      <w:tblPr>
        <w:tblW w:w="5605" w:type="dxa"/>
        <w:jc w:val="left"/>
        <w:tblInd w:w="0" w:type="dxa"/>
        <w:tblLayout w:type="fixed"/>
        <w:tblCellMar>
          <w:top w:w="28" w:type="dxa"/>
          <w:left w:w="28" w:type="dxa"/>
          <w:bottom w:w="28" w:type="dxa"/>
          <w:right w:w="28" w:type="dxa"/>
        </w:tblCellMar>
      </w:tblPr>
      <w:tblGrid>
        <w:gridCol w:w="2526"/>
        <w:gridCol w:w="146"/>
        <w:gridCol w:w="303"/>
        <w:gridCol w:w="822"/>
        <w:gridCol w:w="146"/>
        <w:gridCol w:w="146"/>
        <w:gridCol w:w="303"/>
        <w:gridCol w:w="822"/>
        <w:gridCol w:w="391"/>
      </w:tblGrid>
      <w:tr>
        <w:trPr/>
        <w:tc>
          <w:tcPr>
            <w:tcW w:w="2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Cash flow information related to the operating lease is shown below (in thousands):</w:t>
      </w:r>
    </w:p>
    <w:tbl>
      <w:tblPr>
        <w:tblW w:w="8612" w:type="dxa"/>
        <w:jc w:val="left"/>
        <w:tblInd w:w="0" w:type="dxa"/>
        <w:tblLayout w:type="fixed"/>
        <w:tblCellMar>
          <w:top w:w="28" w:type="dxa"/>
          <w:left w:w="28" w:type="dxa"/>
          <w:bottom w:w="28" w:type="dxa"/>
          <w:right w:w="28" w:type="dxa"/>
        </w:tblCellMar>
      </w:tblPr>
      <w:tblGrid>
        <w:gridCol w:w="4116"/>
        <w:gridCol w:w="146"/>
        <w:gridCol w:w="375"/>
        <w:gridCol w:w="750"/>
        <w:gridCol w:w="146"/>
        <w:gridCol w:w="146"/>
        <w:gridCol w:w="375"/>
        <w:gridCol w:w="750"/>
        <w:gridCol w:w="146"/>
        <w:gridCol w:w="146"/>
        <w:gridCol w:w="375"/>
        <w:gridCol w:w="75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related to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weighted average remaining lease term and discount rate for our operating lease are shown below:</w:t>
      </w:r>
    </w:p>
    <w:tbl>
      <w:tblPr>
        <w:tblW w:w="7285" w:type="dxa"/>
        <w:jc w:val="left"/>
        <w:tblInd w:w="0" w:type="dxa"/>
        <w:tblLayout w:type="fixed"/>
        <w:tblCellMar>
          <w:top w:w="28" w:type="dxa"/>
          <w:left w:w="28" w:type="dxa"/>
          <w:bottom w:w="28" w:type="dxa"/>
          <w:right w:w="28" w:type="dxa"/>
        </w:tblCellMar>
      </w:tblPr>
      <w:tblGrid>
        <w:gridCol w:w="4156"/>
        <w:gridCol w:w="146"/>
        <w:gridCol w:w="324"/>
        <w:gridCol w:w="801"/>
        <w:gridCol w:w="271"/>
        <w:gridCol w:w="146"/>
        <w:gridCol w:w="324"/>
        <w:gridCol w:w="801"/>
        <w:gridCol w:w="316"/>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Future minimum lease payments, by fiscal year, including options to extend that are reasonably certain to be exercised, under our non-cancelable lease are as follows as of June 28, 2026 (in thousands):</w:t>
      </w:r>
    </w:p>
    <w:tbl>
      <w:tblPr>
        <w:tblW w:w="4918" w:type="dxa"/>
        <w:jc w:val="left"/>
        <w:tblInd w:w="0" w:type="dxa"/>
        <w:tblLayout w:type="fixed"/>
        <w:tblCellMar>
          <w:top w:w="28" w:type="dxa"/>
          <w:left w:w="28" w:type="dxa"/>
          <w:bottom w:w="28" w:type="dxa"/>
          <w:right w:w="28" w:type="dxa"/>
        </w:tblCellMar>
      </w:tblPr>
      <w:tblGrid>
        <w:gridCol w:w="3181"/>
        <w:gridCol w:w="146"/>
        <w:gridCol w:w="371"/>
        <w:gridCol w:w="1009"/>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Future Minimum </w:t>
              <w:br/>
              <w:t>Lease Payment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fn_income_taxes"/>
      <w:bookmarkEnd w:id="24"/>
      <w:r>
        <w:rPr>
          <w:rFonts w:ascii="Times New Roman" w:hAnsi="Times New Roman"/>
          <w:b/>
          <w:color w:val="000000"/>
          <w:sz w:val="20"/>
        </w:rPr>
        <w:t>NOTE 6. INCOME TAXES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income tax provisions were calculated based upon the following components of income before income tax and non-controlling interest (in thousands): </w:t>
      </w:r>
    </w:p>
    <w:tbl>
      <w:tblPr>
        <w:tblW w:w="9102" w:type="dxa"/>
        <w:jc w:val="left"/>
        <w:tblInd w:w="0" w:type="dxa"/>
        <w:tblLayout w:type="fixed"/>
        <w:tblCellMar>
          <w:top w:w="28" w:type="dxa"/>
          <w:left w:w="28" w:type="dxa"/>
          <w:bottom w:w="28" w:type="dxa"/>
          <w:right w:w="28" w:type="dxa"/>
        </w:tblCellMar>
      </w:tblPr>
      <w:tblGrid>
        <w:gridCol w:w="4606"/>
        <w:gridCol w:w="146"/>
        <w:gridCol w:w="267"/>
        <w:gridCol w:w="858"/>
        <w:gridCol w:w="146"/>
        <w:gridCol w:w="146"/>
        <w:gridCol w:w="267"/>
        <w:gridCol w:w="858"/>
        <w:gridCol w:w="146"/>
        <w:gridCol w:w="146"/>
        <w:gridCol w:w="267"/>
        <w:gridCol w:w="858"/>
        <w:gridCol w:w="3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and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Income tax expense is summarized as following (in thousands):</w:t>
      </w:r>
    </w:p>
    <w:tbl>
      <w:tblPr>
        <w:tblW w:w="5487" w:type="dxa"/>
        <w:jc w:val="left"/>
        <w:tblInd w:w="0" w:type="dxa"/>
        <w:tblLayout w:type="fixed"/>
        <w:tblCellMar>
          <w:top w:w="28" w:type="dxa"/>
          <w:left w:w="28" w:type="dxa"/>
          <w:bottom w:w="28" w:type="dxa"/>
          <w:right w:w="28" w:type="dxa"/>
        </w:tblCellMar>
      </w:tblPr>
      <w:tblGrid>
        <w:gridCol w:w="951"/>
        <w:gridCol w:w="146"/>
        <w:gridCol w:w="267"/>
        <w:gridCol w:w="858"/>
        <w:gridCol w:w="146"/>
        <w:gridCol w:w="146"/>
        <w:gridCol w:w="282"/>
        <w:gridCol w:w="843"/>
        <w:gridCol w:w="166"/>
        <w:gridCol w:w="146"/>
        <w:gridCol w:w="282"/>
        <w:gridCol w:w="843"/>
        <w:gridCol w:w="411"/>
      </w:tblGrid>
      <w:tr>
        <w:trPr/>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table below provides the required disclosures for fiscal 2026 related to the Company's effective tax rate. See Note 2 Summary of Significant Accounting Policies — Recently Issued Accounting Standards for additional details on the adoption of ASU 2023-09, Income Taxes. Income tax provision differs from the amount that would be provided by applying the statutory U.S. corporate income tax rate for the years ended June 28, 2026, due to the following items (in thousands):</w:t>
      </w:r>
    </w:p>
    <w:tbl>
      <w:tblPr>
        <w:tblW w:w="7890" w:type="dxa"/>
        <w:jc w:val="left"/>
        <w:tblInd w:w="0" w:type="dxa"/>
        <w:tblLayout w:type="fixed"/>
        <w:tblCellMar>
          <w:top w:w="28" w:type="dxa"/>
          <w:left w:w="28" w:type="dxa"/>
          <w:bottom w:w="28" w:type="dxa"/>
          <w:right w:w="28" w:type="dxa"/>
        </w:tblCellMar>
      </w:tblPr>
      <w:tblGrid>
        <w:gridCol w:w="3491"/>
        <w:gridCol w:w="146"/>
        <w:gridCol w:w="267"/>
        <w:gridCol w:w="858"/>
        <w:gridCol w:w="166"/>
        <w:gridCol w:w="146"/>
        <w:gridCol w:w="481"/>
        <w:gridCol w:w="1544"/>
        <w:gridCol w:w="79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Pre-tax Income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at 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State taxes, net of federal benefit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Statutory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Mexico advanced pricing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taxes on foreign branch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payment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Officer compensation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State taxes in Michigan made up the majority (greater than 50%) of the tax effect in this category.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reconciliation of taxes at the Federal statutory rate to our provision for income taxes for the years ended June 29, 2025 and June 30, 2024 in accordance with the guidance prior to the adoption of ASU 2023-09 was as follows:</w:t>
      </w:r>
    </w:p>
    <w:tbl>
      <w:tblPr>
        <w:tblW w:w="6650" w:type="dxa"/>
        <w:jc w:val="left"/>
        <w:tblInd w:w="0" w:type="dxa"/>
        <w:tblLayout w:type="fixed"/>
        <w:tblCellMar>
          <w:top w:w="28" w:type="dxa"/>
          <w:left w:w="28" w:type="dxa"/>
          <w:bottom w:w="28" w:type="dxa"/>
          <w:right w:w="28" w:type="dxa"/>
        </w:tblCellMar>
      </w:tblPr>
      <w:tblGrid>
        <w:gridCol w:w="3321"/>
        <w:gridCol w:w="146"/>
        <w:gridCol w:w="268"/>
        <w:gridCol w:w="857"/>
        <w:gridCol w:w="271"/>
        <w:gridCol w:w="146"/>
        <w:gridCol w:w="268"/>
        <w:gridCol w:w="857"/>
        <w:gridCol w:w="516"/>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 non-resident capital gain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to provision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Cash paid for income taxes (net of refunds) for the year ended June 28, 2026 is as follows (in thousands):</w:t>
      </w:r>
    </w:p>
    <w:tbl>
      <w:tblPr>
        <w:tblW w:w="2613" w:type="dxa"/>
        <w:jc w:val="left"/>
        <w:tblInd w:w="0" w:type="dxa"/>
        <w:tblLayout w:type="fixed"/>
        <w:tblCellMar>
          <w:top w:w="28" w:type="dxa"/>
          <w:left w:w="28" w:type="dxa"/>
          <w:bottom w:w="28" w:type="dxa"/>
          <w:right w:w="28" w:type="dxa"/>
        </w:tblCellMar>
      </w:tblPr>
      <w:tblGrid>
        <w:gridCol w:w="951"/>
        <w:gridCol w:w="146"/>
        <w:gridCol w:w="303"/>
        <w:gridCol w:w="822"/>
        <w:gridCol w:w="391"/>
      </w:tblGrid>
      <w:tr>
        <w:trPr/>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At June 28, 2026, June 29, 2025 and June 30, 2024, the Company had total unrecognized tax benefits of $4.7 million, $1.9 million and $1.6 million, respectively, included in other noncurrent liabilities in the accompanying consolidated balance sheets. The Company recognizes interest and penalties as a component of income tax expense. At June 28, 2026, June 29, 2025 and June 30, 2024, the liability included accrued interest of $1.4 million, $0.2 million and $0.2 million, respectively. Substantially all these unrecognized tax benefits, if recognized, would impact the effective income tax rate.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reconciliation of the beginning and ending amount of unrecognized tax benefits, excluding interest, is as follows (in thousands):</w:t>
      </w:r>
    </w:p>
    <w:tbl>
      <w:tblPr>
        <w:tblW w:w="8687" w:type="dxa"/>
        <w:jc w:val="left"/>
        <w:tblInd w:w="0" w:type="dxa"/>
        <w:tblLayout w:type="fixed"/>
        <w:tblCellMar>
          <w:top w:w="28" w:type="dxa"/>
          <w:left w:w="28" w:type="dxa"/>
          <w:bottom w:w="28" w:type="dxa"/>
          <w:right w:w="28" w:type="dxa"/>
        </w:tblCellMar>
      </w:tblPr>
      <w:tblGrid>
        <w:gridCol w:w="4131"/>
        <w:gridCol w:w="146"/>
        <w:gridCol w:w="303"/>
        <w:gridCol w:w="822"/>
        <w:gridCol w:w="166"/>
        <w:gridCol w:w="146"/>
        <w:gridCol w:w="303"/>
        <w:gridCol w:w="822"/>
        <w:gridCol w:w="166"/>
        <w:gridCol w:w="146"/>
        <w:gridCol w:w="303"/>
        <w:gridCol w:w="822"/>
        <w:gridCol w:w="41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for tax positions taken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Decreases for tax positions taken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Increases for tax positions taken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Lapse of statutes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fiscal 2026, the Company increased its reserve for unrecognized tax benefits by $1.8 million related to transfer pricing matters associated with its Mexican maquiladora operations. The increase reflects management's assessment of the expected outcome of ongoing discussions with the Mexican tax authorities regarding the application of an Advance Pricing Agreement methodology for certain historical tax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deferred tax assets and deferred tax liabilities and related valuation allowance were comprised of the following (in thousands): </w:t>
      </w:r>
    </w:p>
    <w:tbl>
      <w:tblPr>
        <w:tblW w:w="6700" w:type="dxa"/>
        <w:jc w:val="left"/>
        <w:tblInd w:w="0" w:type="dxa"/>
        <w:tblLayout w:type="fixed"/>
        <w:tblCellMar>
          <w:top w:w="28" w:type="dxa"/>
          <w:left w:w="28" w:type="dxa"/>
          <w:bottom w:w="28" w:type="dxa"/>
          <w:right w:w="28" w:type="dxa"/>
        </w:tblCellMar>
      </w:tblPr>
      <w:tblGrid>
        <w:gridCol w:w="3381"/>
        <w:gridCol w:w="146"/>
        <w:gridCol w:w="267"/>
        <w:gridCol w:w="858"/>
        <w:gridCol w:w="166"/>
        <w:gridCol w:w="146"/>
        <w:gridCol w:w="267"/>
        <w:gridCol w:w="858"/>
        <w:gridCol w:w="6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loss and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foreign tax credit carryforwards of $2.7 million (expiring between 2031 and 2045), research and development credits of $0.8 million (expiring in 2046), state credits of $0.7 million (expiring between 2062 and 2077) and a capital loss carryforward of $1.7 million (expiring in 2029). The Company has established a full valuation allowance against the foreign tax credit carryforwards and capital loss carryforward based on its assessment of future realization.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Income tax returns are filed in the United States, Wisconsin, Michigan and various other states, as well as Mexico and other foreign jurisdictions. Tax years open to examination by tax authorities under the statute of limitations include fiscal 2023 through 2027 for federal, fiscal 2021 through 2026 for most states and calendar 2017 through 2025 for foreign jurisdictions.</w:t>
      </w:r>
    </w:p>
    <w:p>
      <w:pPr>
        <w:pStyle w:val="TextBody"/>
        <w:bidi w:val="0"/>
        <w:jc w:val="left"/>
        <w:rPr/>
      </w:pPr>
      <w:r>
        <w:rPr/>
        <w:t> </w:t>
      </w:r>
    </w:p>
    <w:p>
      <w:pPr>
        <w:pStyle w:val="TextBody"/>
        <w:bidi w:val="0"/>
        <w:jc w:val="left"/>
        <w:rPr>
          <w:rFonts w:ascii="Times New Roman" w:hAnsi="Times New Roman"/>
          <w:b/>
          <w:color w:val="000000"/>
          <w:sz w:val="20"/>
        </w:rPr>
      </w:pPr>
      <w:bookmarkStart w:id="25" w:name="fn_retirement_plans_term_bene"/>
      <w:bookmarkEnd w:id="25"/>
      <w:r>
        <w:rPr>
          <w:rFonts w:ascii="Times New Roman" w:hAnsi="Times New Roman"/>
          <w:b/>
          <w:color w:val="000000"/>
          <w:sz w:val="20"/>
        </w:rPr>
        <w:t>NOTE 7. RETIREMENT PLANS AND OTHER POST-EMPLOYMENT BENEFITS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Supplemental Executive Retirement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a Supplemental Executive Retirement Plan (“SERP”), which is a nonqualified plan that provides certain executives with a supplemental benefit upon retirement. The plan provides an annual 8% contribution based on a participant's base salary and cash bonus. The projected benefit obligation under the SERP was $1.3 million and $1.6 million at June 28, 2026 and June 29, 2025, respectively. The Company holds assets in a Rabbi Trust related to this retirement obligation. The Rabbi Trust assets do not qualify as plan assets. The assets had a value of $1.3 million at June 28, 2026 and $1.6 million at June 29, 2025.</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Postretirement Health and Postretirement Life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also sponsors a postretirement health care plan for eligible U.S. retirees hired prior to June 1, 2001. The expected cost of retiree health care benefits is recognized during the years employees render service. The postretirement health care plan is unfunded. The projected benefit obligation for this plan was $0.3 million at June 28, 2026 and June 29, 2025. Additionally, the Company sponsors a postretirement life insurance plan for U.S. salaried employees who retired prior to October 1, 2001 and U.S. hourly employees who were hired prior to June 27, 2005 and retired prior to January 1, 2010. The postretirement life plan is unfunded. The projected benefit obligation for this plan was $0.8 million at June 28, 2026 and June 29, 2025.</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Mexico Post-employment Benefits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is obligated to pay seniority premiums and termination indemnities at the time of separation of an employee in our Mexico operations (collectively, "Mexico post-employment benefits"), in accordance with Mexican Federal Labor Laws. The benefit formula is based on an employee's seniority, age and salary. The following tables summarize the Mexico post-employment benefits net periodic benefit cost (credit), and actuarial assumptions (in thousands):</w:t>
      </w:r>
    </w:p>
    <w:tbl>
      <w:tblPr>
        <w:tblW w:w="8307" w:type="dxa"/>
        <w:jc w:val="left"/>
        <w:tblInd w:w="0" w:type="dxa"/>
        <w:tblLayout w:type="fixed"/>
        <w:tblCellMar>
          <w:top w:w="28" w:type="dxa"/>
          <w:left w:w="28" w:type="dxa"/>
          <w:bottom w:w="28" w:type="dxa"/>
          <w:right w:w="28" w:type="dxa"/>
        </w:tblCellMar>
      </w:tblPr>
      <w:tblGrid>
        <w:gridCol w:w="3436"/>
        <w:gridCol w:w="146"/>
        <w:gridCol w:w="303"/>
        <w:gridCol w:w="822"/>
        <w:gridCol w:w="271"/>
        <w:gridCol w:w="146"/>
        <w:gridCol w:w="303"/>
        <w:gridCol w:w="822"/>
        <w:gridCol w:w="271"/>
        <w:gridCol w:w="146"/>
        <w:gridCol w:w="303"/>
        <w:gridCol w:w="822"/>
        <w:gridCol w:w="5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 settlements and curtailments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reconciliation of the change in benefit obligation and the change in plan assets for the years ended June 28, 2026 and June 29, 2025 (in thousands):</w:t>
      </w:r>
    </w:p>
    <w:tbl>
      <w:tblPr>
        <w:tblW w:w="7500" w:type="dxa"/>
        <w:jc w:val="left"/>
        <w:tblInd w:w="0" w:type="dxa"/>
        <w:tblLayout w:type="fixed"/>
        <w:tblCellMar>
          <w:top w:w="28" w:type="dxa"/>
          <w:left w:w="28" w:type="dxa"/>
          <w:bottom w:w="28" w:type="dxa"/>
          <w:right w:w="28" w:type="dxa"/>
        </w:tblCellMar>
      </w:tblPr>
      <w:tblGrid>
        <w:gridCol w:w="4381"/>
        <w:gridCol w:w="146"/>
        <w:gridCol w:w="250"/>
        <w:gridCol w:w="875"/>
        <w:gridCol w:w="166"/>
        <w:gridCol w:w="146"/>
        <w:gridCol w:w="250"/>
        <w:gridCol w:w="875"/>
        <w:gridCol w:w="4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Actual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Funded status – accrued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recognized in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benefits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Post-employment benefits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accumulated benefit obligation for our Mexico post-employment benefits was $9.1 million at June 28, 2026 and $6.7 million at June 29,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to contribute $865,000 to our Mexico post-employment benefit plan assets in fiscal 2027. The following benefit payments, which reflect expected years of future service, as appropriate, are expected to be paid during the fiscal years noted below (in thousands):</w:t>
      </w:r>
    </w:p>
    <w:tbl>
      <w:tblPr>
        <w:tblW w:w="3908" w:type="dxa"/>
        <w:jc w:val="left"/>
        <w:tblInd w:w="0" w:type="dxa"/>
        <w:tblLayout w:type="fixed"/>
        <w:tblCellMar>
          <w:top w:w="28" w:type="dxa"/>
          <w:left w:w="28" w:type="dxa"/>
          <w:bottom w:w="28" w:type="dxa"/>
          <w:right w:w="28" w:type="dxa"/>
        </w:tblCellMar>
      </w:tblPr>
      <w:tblGrid>
        <w:gridCol w:w="1021"/>
        <w:gridCol w:w="146"/>
        <w:gridCol w:w="605"/>
        <w:gridCol w:w="1945"/>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 Post-employment Benefits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Other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maintains a 401(k) plan for substantially all U.S. employees. Under plan provisions, the Company matches 100% of participant contributions to the plan, up to 5% of the employee's eligible base pay. Contributions to the 401(k) Plan were $2.1 million in fiscal 2026 compared with $2.0 million in fiscal 2025 and $1.9 million in fiscal 2024.</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fn_shareholders_equity"/>
      <w:bookmarkEnd w:id="26"/>
      <w:r>
        <w:rPr>
          <w:rFonts w:ascii="Times New Roman" w:hAnsi="Times New Roman"/>
          <w:b/>
          <w:color w:val="000000"/>
          <w:sz w:val="20"/>
        </w:rPr>
        <w:t>NOTE 8. SHAREHOLDERS’ EQUITY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changes to our common stock for the years ended June 28, 2026 and June 29, 2025:</w:t>
      </w:r>
    </w:p>
    <w:tbl>
      <w:tblPr>
        <w:tblW w:w="7575" w:type="dxa"/>
        <w:jc w:val="left"/>
        <w:tblInd w:w="0" w:type="dxa"/>
        <w:tblLayout w:type="fixed"/>
        <w:tblCellMar>
          <w:top w:w="28" w:type="dxa"/>
          <w:left w:w="28" w:type="dxa"/>
          <w:bottom w:w="28" w:type="dxa"/>
          <w:right w:w="28" w:type="dxa"/>
        </w:tblCellMar>
      </w:tblPr>
      <w:tblGrid>
        <w:gridCol w:w="4476"/>
        <w:gridCol w:w="146"/>
        <w:gridCol w:w="152"/>
        <w:gridCol w:w="973"/>
        <w:gridCol w:w="166"/>
        <w:gridCol w:w="146"/>
        <w:gridCol w:w="152"/>
        <w:gridCol w:w="973"/>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repurchased under share repurchase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4,039,334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fiscal 2026, the Company repurchased 110,269 shares of common stock under its previously authorized share repurchase program at a total cost of $7.4 million. On May 28, 2026, the Board of Directors terminated the prior authorization and approved a new share repurchase program authorizing repurchases of up to $40.0 million of the Company's outstanding common stock. As of June 28, 2026, no shares had been repurchased under the new authorization.</w:t>
      </w:r>
    </w:p>
    <w:p>
      <w:pPr>
        <w:pStyle w:val="TextBody"/>
        <w:bidi w:val="0"/>
        <w:jc w:val="left"/>
        <w:rPr>
          <w:rFonts w:ascii="Times New Roman" w:hAnsi="Times New Roman"/>
          <w:b/>
          <w:color w:val="000000"/>
          <w:sz w:val="20"/>
        </w:rPr>
      </w:pPr>
      <w:bookmarkStart w:id="27" w:name="fn_eps"/>
      <w:bookmarkEnd w:id="27"/>
      <w:r>
        <w:rPr>
          <w:rFonts w:ascii="Times New Roman" w:hAnsi="Times New Roman"/>
          <w:b/>
          <w:color w:val="000000"/>
          <w:sz w:val="20"/>
        </w:rPr>
        <w:t>NOTE 9. EARNINGS PER SHARE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 reconciliation of the components of the basic and diluted per-share computations follows (in thousands, except per share amounts): </w:t>
      </w:r>
    </w:p>
    <w:tbl>
      <w:tblPr>
        <w:tblW w:w="8177" w:type="dxa"/>
        <w:jc w:val="left"/>
        <w:tblInd w:w="0" w:type="dxa"/>
        <w:tblLayout w:type="fixed"/>
        <w:tblCellMar>
          <w:top w:w="28" w:type="dxa"/>
          <w:left w:w="28" w:type="dxa"/>
          <w:bottom w:w="28" w:type="dxa"/>
          <w:right w:w="28" w:type="dxa"/>
        </w:tblCellMar>
      </w:tblPr>
      <w:tblGrid>
        <w:gridCol w:w="3781"/>
        <w:gridCol w:w="146"/>
        <w:gridCol w:w="267"/>
        <w:gridCol w:w="858"/>
        <w:gridCol w:w="146"/>
        <w:gridCol w:w="146"/>
        <w:gridCol w:w="267"/>
        <w:gridCol w:w="858"/>
        <w:gridCol w:w="146"/>
        <w:gridCol w:w="146"/>
        <w:gridCol w:w="267"/>
        <w:gridCol w:w="858"/>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Strattec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28" w:name="fn_stock_based_comp"/>
      <w:bookmarkEnd w:id="28"/>
      <w:r>
        <w:rPr>
          <w:rFonts w:ascii="Times New Roman" w:hAnsi="Times New Roman"/>
          <w:b/>
          <w:color w:val="000000"/>
          <w:sz w:val="20"/>
        </w:rPr>
        <w:t>NOTE 10. STOCK-BASED COMPENSATION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grants service-based restricted stock awards ("RSAs") and performance stock units ("PSUs") to employees and non-employee directors under the Strattec Security Corporation 2024 Equity Incentive Plan ("2024 Equity Incentive Plan"). Prior to October 2024, RSAs were granted under the Amended and Restated Strattec Security Corporation Stock Incentive Plan ("Stock Incentive Plan"). Awards granted under the 2024 Equity Incentive Plan that expire or are canceled without delivery of shares become available for re-issuance. No additional grants will be made under the Stock Incentive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of the Company's common stock authorized under the 2024 Equity Incentive Plan is 550,000. As of June 28, 2026, there were 364,808 shares available for future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restricted stock granted under approved plans have voting rights, earn dividends and vest over a pre-determined period of time, up to three years from the date of the grant. The fair value of restricted stock awards are based on the closing stock price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28, 2026, 35,533 PSUs were outstanding which may be earned based on the achievement of certain financial metrics over a three-year period ending. The PSUs will vest ranging from 0% (for performance below threshold) to 200% (for performance above target) and continued employment. The fair value of PSUs was based on the closing stock price on the date of grant. The PSUs earn dividend equivalents during the vesting period while compensation expense is recognized over the service period when it is probable that the performance criteria will be met. As of June 28, 2026, there was $1.3 million of unrecognized compensation cost related to non-vested PSUs and $2.4 million of unrecognized compensation cost related to non-vested RSAs, which will be expensed over the remaining vesting period of approximately 2 years.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 summary of restricted stock award and performance stock unit activity was as follows: </w:t>
      </w:r>
    </w:p>
    <w:tbl>
      <w:tblPr>
        <w:tblW w:w="8168" w:type="dxa"/>
        <w:jc w:val="left"/>
        <w:tblInd w:w="0" w:type="dxa"/>
        <w:tblLayout w:type="fixed"/>
        <w:tblCellMar>
          <w:top w:w="28" w:type="dxa"/>
          <w:left w:w="28" w:type="dxa"/>
          <w:bottom w:w="28" w:type="dxa"/>
          <w:right w:w="28" w:type="dxa"/>
        </w:tblCellMar>
      </w:tblPr>
      <w:tblGrid>
        <w:gridCol w:w="3076"/>
        <w:gridCol w:w="146"/>
        <w:gridCol w:w="146"/>
        <w:gridCol w:w="781"/>
        <w:gridCol w:w="166"/>
        <w:gridCol w:w="146"/>
        <w:gridCol w:w="254"/>
        <w:gridCol w:w="691"/>
        <w:gridCol w:w="146"/>
        <w:gridCol w:w="146"/>
        <w:gridCol w:w="146"/>
        <w:gridCol w:w="676"/>
        <w:gridCol w:w="166"/>
        <w:gridCol w:w="146"/>
        <w:gridCol w:w="254"/>
        <w:gridCol w:w="69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at June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also has an Employee Stock Purchase Plan which provides substantially all U.S. full-time associates an opportunity to purchase shares of Strattec common stock through payroll deductions. A total of 100,000 shares may be issued under the plan. A total of 40,359 shares remain available for purchase under the plan as of June 28, 2026. </w:t>
      </w:r>
    </w:p>
    <w:p>
      <w:pPr>
        <w:pStyle w:val="TextBody"/>
        <w:bidi w:val="0"/>
        <w:jc w:val="left"/>
        <w:rPr>
          <w:rFonts w:ascii="Times New Roman" w:hAnsi="Times New Roman"/>
          <w:sz w:val="20"/>
        </w:rPr>
      </w:pPr>
      <w:bookmarkStart w:id="29" w:name="fn_other_income"/>
      <w:bookmarkEnd w:id="29"/>
      <w:r>
        <w:rPr>
          <w:rFonts w:ascii="Times New Roman" w:hAnsi="Times New Roman"/>
          <w:b/>
          <w:color w:val="000000"/>
          <w:sz w:val="20"/>
        </w:rPr>
        <w:t>NOTE 11. OTHER INCOME,</w:t>
      </w:r>
      <w:r>
        <w:rPr>
          <w:rFonts w:ascii="Times New Roman" w:hAnsi="Times New Roman"/>
          <w:color w:val="000000"/>
          <w:sz w:val="20"/>
        </w:rPr>
        <w:t xml:space="preserve"> </w:t>
      </w:r>
      <w:r>
        <w:rPr>
          <w:rFonts w:ascii="Times New Roman" w:hAnsi="Times New Roman"/>
          <w:b/>
          <w:color w:val="000000"/>
          <w:sz w:val="20"/>
        </w:rPr>
        <w:t>NET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components of Other income, net included in the accompanying consolidated statements of income (in thousands):</w:t>
      </w:r>
    </w:p>
    <w:tbl>
      <w:tblPr>
        <w:tblW w:w="8707" w:type="dxa"/>
        <w:jc w:val="left"/>
        <w:tblInd w:w="0" w:type="dxa"/>
        <w:tblLayout w:type="fixed"/>
        <w:tblCellMar>
          <w:top w:w="28" w:type="dxa"/>
          <w:left w:w="28" w:type="dxa"/>
          <w:bottom w:w="28" w:type="dxa"/>
          <w:right w:w="28" w:type="dxa"/>
        </w:tblCellMar>
      </w:tblPr>
      <w:tblGrid>
        <w:gridCol w:w="4351"/>
        <w:gridCol w:w="146"/>
        <w:gridCol w:w="282"/>
        <w:gridCol w:w="843"/>
        <w:gridCol w:w="166"/>
        <w:gridCol w:w="146"/>
        <w:gridCol w:w="282"/>
        <w:gridCol w:w="843"/>
        <w:gridCol w:w="166"/>
        <w:gridCol w:w="146"/>
        <w:gridCol w:w="303"/>
        <w:gridCol w:w="822"/>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Rabbi trust assets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 (loss) on peso forward contracts,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on peso forward contracts,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Non-service pension and postemployment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30" w:name="fn_aocl"/>
      <w:bookmarkEnd w:id="30"/>
      <w:r>
        <w:rPr>
          <w:rFonts w:ascii="Times New Roman" w:hAnsi="Times New Roman"/>
          <w:b/>
          <w:color w:val="000000"/>
          <w:sz w:val="20"/>
        </w:rPr>
        <w:t>NOTE 12. ACCUMULATED OTHER COMPREHENSIVE LOSS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summarize the changes in accumulated other comprehensive loss ("AOCL") (in thousands):</w:t>
      </w:r>
    </w:p>
    <w:tbl>
      <w:tblPr>
        <w:tblW w:w="9524" w:type="dxa"/>
        <w:jc w:val="left"/>
        <w:tblInd w:w="0" w:type="dxa"/>
        <w:tblLayout w:type="fixed"/>
        <w:tblCellMar>
          <w:top w:w="28" w:type="dxa"/>
          <w:left w:w="28" w:type="dxa"/>
          <w:bottom w:w="28" w:type="dxa"/>
          <w:right w:w="28" w:type="dxa"/>
        </w:tblCellMar>
      </w:tblPr>
      <w:tblGrid>
        <w:gridCol w:w="6451"/>
        <w:gridCol w:w="267"/>
        <w:gridCol w:w="858"/>
        <w:gridCol w:w="166"/>
        <w:gridCol w:w="146"/>
        <w:gridCol w:w="267"/>
        <w:gridCol w:w="858"/>
        <w:gridCol w:w="511"/>
      </w:tblGrid>
      <w:tr>
        <w:trPr/>
        <w:tc>
          <w:tcPr>
            <w:tcW w:w="64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beginning of period</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comprehensive (income) loss attributable to non-controlling interest</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end of period</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Retirement and postretirement benefit plans: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beginning of period</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Unrecognized net income</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end of period</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end of period</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1" w:name="fn_related_party"/>
      <w:bookmarkEnd w:id="31"/>
      <w:r>
        <w:rPr>
          <w:rFonts w:ascii="Times New Roman" w:hAnsi="Times New Roman"/>
          <w:b/>
          <w:color w:val="000000"/>
          <w:sz w:val="20"/>
        </w:rPr>
        <w:t>NOTE 13. RELATED PARTY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owns 51% of a joint venture, which was formed in 2007 to jointly conduct the business of manufacturing, warehousing and selling painted door handles and exterior trim products in Canada, the United States and Mexico. The following tables summarize the related party transactions that arise as a result of the joint venture operating agreement (in thousands):</w:t>
      </w:r>
    </w:p>
    <w:tbl>
      <w:tblPr>
        <w:tblW w:w="7057" w:type="dxa"/>
        <w:jc w:val="left"/>
        <w:tblInd w:w="0" w:type="dxa"/>
        <w:tblLayout w:type="fixed"/>
        <w:tblCellMar>
          <w:top w:w="28" w:type="dxa"/>
          <w:left w:w="28" w:type="dxa"/>
          <w:bottom w:w="28" w:type="dxa"/>
          <w:right w:w="28" w:type="dxa"/>
        </w:tblCellMar>
      </w:tblPr>
      <w:tblGrid>
        <w:gridCol w:w="2761"/>
        <w:gridCol w:w="146"/>
        <w:gridCol w:w="303"/>
        <w:gridCol w:w="822"/>
        <w:gridCol w:w="146"/>
        <w:gridCol w:w="146"/>
        <w:gridCol w:w="303"/>
        <w:gridCol w:w="822"/>
        <w:gridCol w:w="146"/>
        <w:gridCol w:w="146"/>
        <w:gridCol w:w="303"/>
        <w:gridCol w:w="822"/>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to joint venture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3901"/>
        <w:gridCol w:w="146"/>
        <w:gridCol w:w="303"/>
        <w:gridCol w:w="822"/>
        <w:gridCol w:w="146"/>
        <w:gridCol w:w="146"/>
        <w:gridCol w:w="303"/>
        <w:gridCol w:w="822"/>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from joint venture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to joint venture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Times New Roman" w:hAnsi="Times New Roman"/>
          <w:b/>
          <w:color w:val="000000"/>
          <w:sz w:val="20"/>
        </w:rPr>
      </w:pPr>
      <w:bookmarkStart w:id="32" w:name="fn_segments"/>
      <w:bookmarkEnd w:id="32"/>
      <w:r>
        <w:rPr>
          <w:rFonts w:ascii="Times New Roman" w:hAnsi="Times New Roman"/>
          <w:b/>
          <w:color w:val="000000"/>
          <w:sz w:val="20"/>
        </w:rPr>
        <w:t>NOTE 14. SEGMENT INFORMATION</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operates within the automotive industry, offering a range of closely related products with shared production processes, distribution channels, and customers. These business activities are managed collectively, and the Company is organized and operates as a single business unit. As such, the Company has one reportable segment. The financial results for this reportable segment are equal to consolidated results as reported in the accompanying consolidated statements of income and comprehensive income and consolidated balance sheets.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Financial results, forecasts and budget to actual variances for the Company's reportable segment are provided to and regularly reviewed by the Chief Operating Decision Maker ("CODM"), which is the Company's Chief Executive Officer. The primary measure of segment profit or loss that the CODM uses to evaluate performance and allocate resources is Net income attributable to Strattec.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significant expenses that are regularly provided to the CODM are disclosed in the consolidated statements of income as a part of Net income attributable to Strattec and were as follows (in thousands):</w:t>
      </w:r>
    </w:p>
    <w:tbl>
      <w:tblPr>
        <w:tblW w:w="8987" w:type="dxa"/>
        <w:jc w:val="left"/>
        <w:tblInd w:w="0" w:type="dxa"/>
        <w:tblLayout w:type="fixed"/>
        <w:tblCellMar>
          <w:top w:w="28" w:type="dxa"/>
          <w:left w:w="28" w:type="dxa"/>
          <w:bottom w:w="28" w:type="dxa"/>
          <w:right w:w="28" w:type="dxa"/>
        </w:tblCellMar>
      </w:tblPr>
      <w:tblGrid>
        <w:gridCol w:w="4431"/>
        <w:gridCol w:w="146"/>
        <w:gridCol w:w="239"/>
        <w:gridCol w:w="886"/>
        <w:gridCol w:w="166"/>
        <w:gridCol w:w="146"/>
        <w:gridCol w:w="239"/>
        <w:gridCol w:w="886"/>
        <w:gridCol w:w="166"/>
        <w:gridCol w:w="146"/>
        <w:gridCol w:w="239"/>
        <w:gridCol w:w="886"/>
        <w:gridCol w:w="41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material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Strattec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Sales and net tangible long-lived assets (property, plant and equipment, net and right-of-use assets) are presented by country; sales are attributed based on the location to which products were shipped (in thousands):</w:t>
      </w:r>
    </w:p>
    <w:tbl>
      <w:tblPr>
        <w:tblW w:w="8389" w:type="dxa"/>
        <w:jc w:val="left"/>
        <w:tblInd w:w="0" w:type="dxa"/>
        <w:tblLayout w:type="fixed"/>
        <w:tblCellMar>
          <w:top w:w="28" w:type="dxa"/>
          <w:left w:w="28" w:type="dxa"/>
          <w:bottom w:w="28" w:type="dxa"/>
          <w:right w:w="28" w:type="dxa"/>
        </w:tblCellMar>
      </w:tblPr>
      <w:tblGrid>
        <w:gridCol w:w="1201"/>
        <w:gridCol w:w="239"/>
        <w:gridCol w:w="886"/>
        <w:gridCol w:w="146"/>
        <w:gridCol w:w="146"/>
        <w:gridCol w:w="239"/>
        <w:gridCol w:w="886"/>
        <w:gridCol w:w="146"/>
        <w:gridCol w:w="146"/>
        <w:gridCol w:w="239"/>
        <w:gridCol w:w="886"/>
        <w:gridCol w:w="146"/>
        <w:gridCol w:w="146"/>
        <w:gridCol w:w="267"/>
        <w:gridCol w:w="858"/>
        <w:gridCol w:w="148"/>
        <w:gridCol w:w="148"/>
        <w:gridCol w:w="267"/>
        <w:gridCol w:w="858"/>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Tangible Long-Lived 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Korea</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72,016</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Sales by product group were as follows (in thousands and percent of total net sales):</w:t>
      </w:r>
    </w:p>
    <w:tbl>
      <w:tblPr>
        <w:tblW w:w="8539"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586"/>
        <w:gridCol w:w="146"/>
        <w:gridCol w:w="211"/>
        <w:gridCol w:w="781"/>
        <w:gridCol w:w="146"/>
        <w:gridCol w:w="146"/>
        <w:gridCol w:w="586"/>
        <w:gridCol w:w="146"/>
        <w:gridCol w:w="211"/>
        <w:gridCol w:w="781"/>
        <w:gridCol w:w="146"/>
        <w:gridCol w:w="146"/>
        <w:gridCol w:w="6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Door handles &amp; exterior trim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access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Keys &amp; locksets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Latches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User interface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Aftermarket and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Sales to and receivables from customers that individually accounted for 10% or more of the Company's total net sales were as follows (in thousands and percent of total):</w:t>
      </w:r>
    </w:p>
    <w:tbl>
      <w:tblPr>
        <w:tblW w:w="7999"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481"/>
        <w:gridCol w:w="146"/>
        <w:gridCol w:w="211"/>
        <w:gridCol w:w="781"/>
        <w:gridCol w:w="146"/>
        <w:gridCol w:w="146"/>
        <w:gridCol w:w="481"/>
        <w:gridCol w:w="146"/>
        <w:gridCol w:w="211"/>
        <w:gridCol w:w="781"/>
        <w:gridCol w:w="146"/>
        <w:gridCol w:w="146"/>
        <w:gridCol w:w="52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Motors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Motor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Stellantis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tbl>
      <w:tblPr>
        <w:tblW w:w="5996" w:type="dxa"/>
        <w:jc w:val="left"/>
        <w:tblInd w:w="0" w:type="dxa"/>
        <w:tblLayout w:type="fixed"/>
        <w:tblCellMar>
          <w:top w:w="28" w:type="dxa"/>
          <w:left w:w="28" w:type="dxa"/>
          <w:bottom w:w="28" w:type="dxa"/>
          <w:right w:w="28" w:type="dxa"/>
        </w:tblCellMar>
      </w:tblPr>
      <w:tblGrid>
        <w:gridCol w:w="2221"/>
        <w:gridCol w:w="146"/>
        <w:gridCol w:w="225"/>
        <w:gridCol w:w="721"/>
        <w:gridCol w:w="146"/>
        <w:gridCol w:w="146"/>
        <w:gridCol w:w="481"/>
        <w:gridCol w:w="146"/>
        <w:gridCol w:w="225"/>
        <w:gridCol w:w="721"/>
        <w:gridCol w:w="146"/>
        <w:gridCol w:w="146"/>
        <w:gridCol w:w="52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2025</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Motors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Motor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Stellantis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33" w:name="fn_commitments_contingencies"/>
      <w:bookmarkEnd w:id="33"/>
      <w:r>
        <w:rPr>
          <w:rFonts w:ascii="Times New Roman" w:hAnsi="Times New Roman"/>
          <w:b/>
          <w:color w:val="000000"/>
          <w:sz w:val="20"/>
        </w:rPr>
        <w:t>NOTE 15. COMMITMENTS AND CONTINGENCIES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the Company is subject to various legal actions and claims incidental to our business, including those arising out of alleged defects, alleged breaches of contracts, product warranties, intellectual property matters and employment related matters. The Company believes that the outcome of such matters will not have a material adverse impact on the consolidated financial position, results of operations or cash flows.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maintains an environmental reserve reflecting the estimated costs of remediation of a solvent spill which occurred at the Milwaukee facility in 1985. Based on findings to date and known environmental regulations, the Company believes that the $1.4 million environmental reserve included in Other current liabilities in the accompanying consolidated balance sheets as of June 28, 2026 is adequate.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currently anticipate any materially adverse impact on our financial statements or competitive position as a result of compliance with federal, state, local and foreign environmental laws or other legal requirements. However, risk of further environmental liability and charges associated with maintaining compliance with environmental laws is inherent in the nature of our business and there is no assurance that material liabilities or charges could not arise.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4" w:name="item_9__changes_in_disagreements_with_ac"/>
      <w:bookmarkEnd w:id="34"/>
      <w:r>
        <w:rPr>
          <w:rFonts w:ascii="Times New Roman" w:hAnsi="Times New Roman"/>
          <w:b/>
          <w:color w:val="000000"/>
          <w:sz w:val="20"/>
        </w:rPr>
        <w:t>ITEM 9. CHANGES IN AND DISAGREEMENTS WITH ACCOUNTANTS ON ACCOUNTING AND FINANCIAL</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35" w:name="item_9a_controls_procedures"/>
      <w:bookmarkEnd w:id="35"/>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Management’s Annual Report on Internal Controls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the preparation, integrity, and fair presentation of the consolidated financial statements included in this annual report. The consolidated financial statements and notes included in this annual report have been prepared in conformity with accounting principles generally accepted in the United States of America and necessarily include some amounts that are based on management’s best estimates and judgments.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as management of Strattec Security Corporation, are responsible for establishing and maintaining effective internal control over financial reporting that is designed to produce reliable financial statements in conformity with United States generally accepted accounting principles. The system of internal control over financial reporting as it relates to the financial statements is evaluated for effectiveness by management and tested for reliability through a program of internal audits. Actions are taken to correct potential deficiencies as they are identified.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of the Company’s Board of Directors, consisting entirely of independent directors, meets regularly with management and the independent registered public accounting firm, and reviews audit plans and results, as well as management’s actions taken in discharging responsibilities for accounting, financial reporting, and internal control. Deloitte &amp; Touche LLP, independent registered public accounting firm, has direct and confidential access to the Audit Committee at all times to discuss the results of their audits.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Management assessed the Company's system of internal control over financial reporting as of June 28, 2026, in relation to criteria for effective internal control over financial reporting as described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Based on the assessment, management concluded that, as of June 28, 2026, its system of internal control over financial reporting was effective and met the criteria of the </w:t>
      </w:r>
      <w:r>
        <w:rPr>
          <w:rFonts w:ascii="Times New Roman" w:hAnsi="Times New Roman"/>
          <w:i/>
          <w:color w:val="000000"/>
          <w:sz w:val="20"/>
        </w:rPr>
        <w:t>Internal Control – Integrated Framework (2013)</w:t>
      </w:r>
      <w:r>
        <w:rPr>
          <w:rFonts w:ascii="Times New Roman" w:hAnsi="Times New Roman"/>
          <w:color w:val="000000"/>
          <w:sz w:val="20"/>
        </w:rPr>
        <w:t>. Deloitte &amp; Touche LLP, independent registered public accounting firm, has issued an attestation report on the Company's internal control over financial reporting, which is included herein.</w:t>
      </w:r>
    </w:p>
    <w:p>
      <w:pPr>
        <w:pStyle w:val="TextBody"/>
        <w:bidi w:val="0"/>
        <w:jc w:val="both"/>
        <w:rPr/>
      </w:pPr>
      <w:r>
        <w:rPr/>
        <w:t> </w:t>
      </w:r>
    </w:p>
    <w:tbl>
      <w:tblPr>
        <w:tblW w:w="7468" w:type="dxa"/>
        <w:jc w:val="left"/>
        <w:tblInd w:w="0" w:type="dxa"/>
        <w:tblLayout w:type="fixed"/>
        <w:tblCellMar>
          <w:top w:w="28" w:type="dxa"/>
          <w:left w:w="28" w:type="dxa"/>
          <w:bottom w:w="28" w:type="dxa"/>
          <w:right w:w="28" w:type="dxa"/>
        </w:tblCellMar>
      </w:tblPr>
      <w:tblGrid>
        <w:gridCol w:w="3181"/>
        <w:gridCol w:w="146"/>
        <w:gridCol w:w="414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P. Pauli</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Slater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P. Pauli</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80"/>
        <w:jc w:val="left"/>
        <w:rPr/>
      </w:pPr>
      <w:r>
        <w:rPr/>
        <w:t> </w:t>
      </w:r>
    </w:p>
    <w:p>
      <w:pPr>
        <w:pStyle w:val="TextBody"/>
        <w:bidi w:val="0"/>
        <w:jc w:val="both"/>
        <w:rPr>
          <w:rFonts w:ascii="Times New Roman" w:hAnsi="Times New Roman"/>
          <w:b/>
          <w:color w:val="000000"/>
          <w:sz w:val="20"/>
        </w:rPr>
      </w:pPr>
      <w:bookmarkStart w:id="36" w:name="other_information"/>
      <w:bookmarkEnd w:id="36"/>
      <w:r>
        <w:rPr>
          <w:rFonts w:ascii="Times New Roman" w:hAnsi="Times New Roman"/>
          <w:b/>
          <w:color w:val="000000"/>
          <w:sz w:val="20"/>
        </w:rPr>
        <w:t>ITEM 9B.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June 28, 2026, no director or officer of the Company adopted, modified, or terminated any Rule 10b5-1 trading arrangement or any non-Rule 10b5-1 trading arrangement, as each term is defined in Item 408(a) of Regulation S-K.</w:t>
      </w:r>
    </w:p>
    <w:p>
      <w:pPr>
        <w:pStyle w:val="TextBody"/>
        <w:bidi w:val="0"/>
        <w:jc w:val="both"/>
        <w:rPr/>
      </w:pPr>
      <w:r>
        <w:rPr/>
        <w:t> </w:t>
      </w:r>
    </w:p>
    <w:p>
      <w:pPr>
        <w:pStyle w:val="TextBody"/>
        <w:bidi w:val="0"/>
        <w:jc w:val="both"/>
        <w:rPr>
          <w:rFonts w:ascii="Times New Roman" w:hAnsi="Times New Roman"/>
          <w:b/>
          <w:color w:val="000000"/>
          <w:sz w:val="20"/>
        </w:rPr>
      </w:pPr>
      <w:bookmarkStart w:id="37" w:name="item_9c_disclosures_regarding_foreign_ju"/>
      <w:bookmarkEnd w:id="37"/>
      <w:r>
        <w:rPr>
          <w:rFonts w:ascii="Times New Roman" w:hAnsi="Times New Roman"/>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ii"/>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both"/>
        <w:rPr/>
      </w:pPr>
      <w:r>
        <w:rPr/>
        <w:t> </w:t>
      </w:r>
    </w:p>
    <w:p>
      <w:pPr>
        <w:pStyle w:val="TextBody"/>
        <w:bidi w:val="0"/>
        <w:jc w:val="both"/>
        <w:rPr>
          <w:rFonts w:ascii="Times New Roman" w:hAnsi="Times New Roman"/>
          <w:b/>
          <w:color w:val="000000"/>
          <w:sz w:val="20"/>
        </w:rPr>
      </w:pPr>
      <w:bookmarkStart w:id="39" w:name="item_10_directors_executive_ficers_corpo"/>
      <w:bookmarkEnd w:id="39"/>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 our Proxy Statement under the headings “Proposal 1: Election of Directors,” “Corporate Governance Matters-Code of Ethics,” “Corporate Governance Matters-Director Independence; Audit Committee Financial Expert,” “Section 16(a) Reports,” “Corporate Governance Matters-Nominating and Governance Committee,” and “Corporate Governance Matters-Director Nomination and Selection Process”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of our Board of Directors is an “audit committee” for purposes of Section 3(a)(58)(A) of the Securities Exchange Act of 1934. The members of the Audit Committee consist of five outside independent directors, Matteo Anversa, Audit Committee Chairman, Frederic Jack Liebau, Jr., Bruce Lisman, Thomas W. Florsheim, Jr., and Tina Chang.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Ethics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ethics applicable to our principal executive officer and our other senior financial officers. The code of ethics, which we refer to as our Code of Business Ethics, is available on the Investor Relations page of our website.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pStyle w:val="TextBody"/>
        <w:bidi w:val="0"/>
        <w:spacing w:before="240" w:after="283"/>
        <w:jc w:val="left"/>
        <w:rPr>
          <w:rFonts w:ascii="Times New Roman" w:hAnsi="Times New Roman"/>
          <w:sz w:val="20"/>
        </w:rPr>
      </w:pPr>
      <w:r>
        <w:rPr>
          <w:rFonts w:ascii="Times New Roman" w:hAnsi="Times New Roman"/>
          <w:b/>
          <w:color w:val="000000"/>
          <w:sz w:val="20"/>
        </w:rPr>
        <w:t>Insider Trading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fostering a culture of compliance, ethics, and regulatory excellence. In furtherance of that commitment, the Company adopted an Insider Trading Policy applicable to all directors, officers, and employees, as well as the Company itself, which governs the purchase, sale, and other disposition of the securities of the Company and other organizations, including our business partners. We believe the Insider Trading Policy is reasonably designed to promote compliance with insider trading laws, rules, and regulations, and the listing standards applicable to us. A copy of the Insider Trading Policy is filed as Exhibit 19 to this Annual Report on Form 10-K.</w:t>
      </w:r>
    </w:p>
    <w:p>
      <w:pPr>
        <w:pStyle w:val="TextBody"/>
        <w:bidi w:val="0"/>
        <w:spacing w:before="360" w:after="283"/>
        <w:jc w:val="both"/>
        <w:rPr>
          <w:rFonts w:ascii="Times New Roman" w:hAnsi="Times New Roman"/>
          <w:b/>
          <w:color w:val="000000"/>
          <w:sz w:val="20"/>
        </w:rPr>
      </w:pPr>
      <w:bookmarkStart w:id="40" w:name="item_11_executive_compensation"/>
      <w:bookmarkEnd w:id="40"/>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will be included in our Proxy Statement under the headings “Director Compensation” and “Compensation Discussion and Analysis” and is incorporated herein by reference.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41" w:name="item_12_security_ownership_certain_benef"/>
      <w:bookmarkEnd w:id="41"/>
      <w:r>
        <w:rPr>
          <w:rFonts w:ascii="Times New Roman" w:hAnsi="Times New Roman"/>
          <w:b/>
          <w:color w:val="000000"/>
          <w:sz w:val="20"/>
        </w:rPr>
        <w:t>ITEM 12. SECURITY OWNERSHIP OF CERTAIN BENEFICIAL OWNERS AND MANAGEMENT AND RELATED</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SHAREHOLDER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Proxy Statement under the headings “Security Ownership” and "Equity Compensation Plan Information" and is incorporated herein by reference.</w:t>
      </w:r>
    </w:p>
    <w:p>
      <w:pPr>
        <w:pStyle w:val="TextBody"/>
        <w:bidi w:val="0"/>
        <w:spacing w:before="160" w:after="283"/>
        <w:jc w:val="both"/>
        <w:rPr/>
      </w:pPr>
      <w:r>
        <w:rPr/>
        <w:t> </w:t>
      </w:r>
    </w:p>
    <w:p>
      <w:pPr>
        <w:pStyle w:val="TextBody"/>
        <w:bidi w:val="0"/>
        <w:spacing w:before="160" w:after="283"/>
        <w:jc w:val="both"/>
        <w:rPr>
          <w:rFonts w:ascii="Times New Roman" w:hAnsi="Times New Roman"/>
          <w:b/>
          <w:color w:val="000000"/>
          <w:sz w:val="20"/>
        </w:rPr>
      </w:pPr>
      <w:bookmarkStart w:id="42" w:name="item_13_certain_relationships_related_tr"/>
      <w:bookmarkEnd w:id="42"/>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Proxy Statement under the headings “Transactions With Related Persons” and “Corporate Governance Matters” and is incorporated herein by reference.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43" w:name="item_14_principal_accountant_fees"/>
      <w:bookmarkEnd w:id="43"/>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Proxy Statement under the headings “Audit Committee Matters-Fees of Independent Registered Public Accounting Firm” and is incorporated herein by reference.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part_iv"/>
      <w:bookmarkEnd w:id="4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both"/>
        <w:rPr/>
      </w:pPr>
      <w:r>
        <w:rPr/>
        <w:t> </w:t>
      </w:r>
    </w:p>
    <w:p>
      <w:pPr>
        <w:pStyle w:val="TextBody"/>
        <w:bidi w:val="0"/>
        <w:jc w:val="both"/>
        <w:rPr>
          <w:rFonts w:ascii="Times New Roman" w:hAnsi="Times New Roman"/>
          <w:b/>
          <w:color w:val="000000"/>
          <w:sz w:val="20"/>
        </w:rPr>
      </w:pPr>
      <w:bookmarkStart w:id="45" w:name="item_15_exhibits_financial_statement_sch"/>
      <w:bookmarkEnd w:id="45"/>
      <w:r>
        <w:rPr>
          <w:rFonts w:ascii="Times New Roman" w:hAnsi="Times New Roman"/>
          <w:b/>
          <w:color w:val="000000"/>
          <w:sz w:val="20"/>
        </w:rPr>
        <w:t>ITEM 15. EXHIBITS AND FINANCIAL STATEMENT SCHEDULES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211"/>
        <w:gridCol w:w="146"/>
        <w:gridCol w:w="95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Financial Statements:</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Report of Deloitte &amp; Touche LLP Independent Registered Public Accounting Firm (PCAOB ID: 34)</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Income for the years ended June 28, 2026, June 29, 2025 and June 30, 2024</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Comprehensive Income for the years ended June 28, 2026, June 29, 2025 and June 30, 2024</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Balance Sheets as of June 28, 2026 and June 29, 2025</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Shareholders' Equity for the years ended June 28, 2026, June 29, 2025 and June 30, 2024</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Consolidated Statements of Cash Flows for the years ended June 28, 2026, June 29, 2025 and June 30, 2024</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Schedule II - Valuation and Qualifying Accounts</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Exhibits:</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See the following List of Exhibits:</w:t>
            </w:r>
          </w:p>
        </w:tc>
      </w:tr>
    </w:tbl>
    <w:p>
      <w:pPr>
        <w:pStyle w:val="TextBody"/>
        <w:bidi w:val="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631"/>
        <w:gridCol w:w="146"/>
        <w:gridCol w:w="4980"/>
        <w:gridCol w:w="146"/>
        <w:gridCol w:w="4302"/>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2"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u w:val="single"/>
              </w:rPr>
            </w:pPr>
            <w:r>
              <w:rPr>
                <w:rFonts w:ascii="Times New Roman" w:hAnsi="Times New Roman"/>
                <w:color w:val="000000"/>
                <w:sz w:val="18"/>
                <w:u w:val="single"/>
              </w:rPr>
              <w:t>Exhibit</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4980"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4302"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u w:val="single"/>
              </w:rPr>
            </w:pPr>
            <w:r>
              <w:rPr>
                <w:rFonts w:ascii="Times New Roman" w:hAnsi="Times New Roman"/>
                <w:color w:val="000000"/>
                <w:sz w:val="18"/>
                <w:u w:val="single"/>
              </w:rPr>
              <w:t>If Incorporated by Reference, Documents with Which Exhibit was Previously Filed with SEC</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3.1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w:anchor="strt-ex3_1.htm">
              <w:r>
                <w:rPr>
                  <w:rStyle w:val="InternetLink"/>
                  <w:rFonts w:ascii="Times New Roman" w:hAnsi="Times New Roman"/>
                  <w:color w:val="0000FF"/>
                  <w:sz w:val="18"/>
                  <w:u w:val="single"/>
                </w:rPr>
                <w:t>Amended and Restated Articles of Incorporation of the Company, as amended through October 23,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3.2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3">
              <w:r>
                <w:rPr>
                  <w:rStyle w:val="InternetLink"/>
                  <w:rFonts w:ascii="Times New Roman" w:hAnsi="Times New Roman"/>
                  <w:color w:val="0000FF"/>
                  <w:sz w:val="18"/>
                  <w:u w:val="single"/>
                </w:rPr>
                <w:t>Amended By-laws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23, 2024; Exhibit 3.2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 xml:space="preserve">4.1 </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w:anchor="strt-ex4_1.htm">
              <w:r>
                <w:rPr>
                  <w:rStyle w:val="InternetLink"/>
                  <w:rFonts w:ascii="Times New Roman" w:hAnsi="Times New Roman"/>
                  <w:color w:val="0000FF"/>
                  <w:sz w:val="18"/>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4">
              <w:r>
                <w:rPr>
                  <w:rStyle w:val="InternetLink"/>
                  <w:rFonts w:ascii="Times New Roman" w:hAnsi="Times New Roman"/>
                  <w:color w:val="0000FF"/>
                  <w:sz w:val="18"/>
                  <w:u w:val="single"/>
                </w:rPr>
                <w:t>Amended &amp; Restated Credit Agreement, dated October 27, 2025, between the Company and BMO Bank N.A.</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30, 2025 (Exhibit 10.1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5">
              <w:r>
                <w:rPr>
                  <w:rStyle w:val="InternetLink"/>
                  <w:rFonts w:ascii="Times New Roman" w:hAnsi="Times New Roman"/>
                  <w:color w:val="0000FF"/>
                  <w:sz w:val="18"/>
                  <w:u w:val="single"/>
                </w:rPr>
                <w:t>Employment Agreement between the Company and Richard P. Messina, dated May 5, 2010</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Quarterly Report on Form 10-Q (filed on May 6, 2010; Exhibit 10.16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6">
              <w:r>
                <w:rPr>
                  <w:rStyle w:val="InternetLink"/>
                  <w:rFonts w:ascii="Times New Roman" w:hAnsi="Times New Roman"/>
                  <w:color w:val="0000FF"/>
                  <w:sz w:val="18"/>
                  <w:u w:val="single"/>
                </w:rPr>
                <w:t>Change of Control Employment Agreement between the Company and Richard P. Messina, dated July 1, 2016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Annual Report on Form 10-K (filed on September 8, 2016; Exhibit 10.11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7">
              <w:r>
                <w:rPr>
                  <w:rStyle w:val="InternetLink"/>
                  <w:rFonts w:ascii="Times New Roman" w:hAnsi="Times New Roman"/>
                  <w:color w:val="0000FF"/>
                  <w:sz w:val="18"/>
                  <w:u w:val="single"/>
                </w:rPr>
                <w:t>Retention Agreement by and between the Company and Richard P. Messina, dated November 22, 2023</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Report on Form 8-K (filed on November 28, 2023; Exhibit 10.2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8">
              <w:r>
                <w:rPr>
                  <w:rStyle w:val="InternetLink"/>
                  <w:rFonts w:ascii="Times New Roman" w:hAnsi="Times New Roman"/>
                  <w:color w:val="0000FF"/>
                  <w:sz w:val="18"/>
                  <w:u w:val="single"/>
                </w:rPr>
                <w:t>Employment Agreement between the Company and Jennifer L. Slater, dated June 11,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June 14, 2024; Exhibit 10.1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9">
              <w:r>
                <w:rPr>
                  <w:rStyle w:val="InternetLink"/>
                  <w:rFonts w:ascii="Times New Roman" w:hAnsi="Times New Roman"/>
                  <w:color w:val="0000FF"/>
                  <w:sz w:val="18"/>
                  <w:u w:val="single"/>
                </w:rPr>
                <w:t>First Amendment to Employment Agreement between the Company and Jennifer L. Slater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November 7, 2024; Exhibit 10.3 therein)</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w:anchor="strt-ex10_7.htm">
              <w:r>
                <w:rPr>
                  <w:rStyle w:val="InternetLink"/>
                  <w:rFonts w:ascii="Times New Roman" w:hAnsi="Times New Roman"/>
                  <w:color w:val="0000FF"/>
                  <w:sz w:val="18"/>
                  <w:u w:val="single"/>
                </w:rPr>
                <w:t>Employment Agreement between the Company and Chey Becker-Varto, effective November 4,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6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80" w:type="dxa"/>
            <w:tcBorders/>
            <w:tcMar>
              <w:top w:w="0" w:type="dxa"/>
              <w:left w:w="0" w:type="dxa"/>
              <w:bottom w:w="0" w:type="dxa"/>
              <w:right w:w="0" w:type="dxa"/>
            </w:tcMar>
            <w:vAlign w:val="center"/>
          </w:tcPr>
          <w:p>
            <w:pPr>
              <w:pStyle w:val="TableContents"/>
              <w:bidi w:val="0"/>
              <w:spacing w:before="120" w:after="120"/>
              <w:jc w:val="left"/>
              <w:rPr/>
            </w:pPr>
            <w:hyperlink r:id="rId10">
              <w:r>
                <w:rPr>
                  <w:rStyle w:val="InternetLink"/>
                  <w:rFonts w:ascii="Times New Roman" w:hAnsi="Times New Roman"/>
                  <w:color w:val="0000FF"/>
                  <w:sz w:val="18"/>
                  <w:u w:val="single"/>
                </w:rPr>
                <w:t>Employment Agreement between the Company and Matthew P. Pauli, effective November 13,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302"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November 12, 2024; Exhibit 10.1 therein)</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8"/>
        <w:gridCol w:w="146"/>
        <w:gridCol w:w="6244"/>
        <w:gridCol w:w="146"/>
        <w:gridCol w:w="3071"/>
      </w:tblGrid>
      <w:tr>
        <w:trPr/>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1">
              <w:r>
                <w:rPr>
                  <w:rStyle w:val="InternetLink"/>
                  <w:rFonts w:ascii="Times New Roman" w:hAnsi="Times New Roman"/>
                  <w:color w:val="0000FF"/>
                  <w:sz w:val="18"/>
                  <w:u w:val="single"/>
                </w:rPr>
                <w:t>Amended and Restated Strattec Security Corporation Stock Incentive Plan</w:t>
              </w:r>
            </w:hyperlink>
            <w:hyperlink r:id="rId1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Proxy Statement on Scheduled 14A (filed on September 7, 2023; Appendix B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3">
              <w:r>
                <w:rPr>
                  <w:rStyle w:val="InternetLink"/>
                  <w:rFonts w:ascii="Times New Roman" w:hAnsi="Times New Roman"/>
                  <w:color w:val="0000FF"/>
                  <w:sz w:val="18"/>
                  <w:u w:val="single"/>
                </w:rPr>
                <w:t>Strattec Security Corporation 2024 Equity Incentive Plan</w:t>
              </w:r>
            </w:hyperlink>
            <w:hyperlink r:id="rId14">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23, 2024; Exhibit 10.1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5">
              <w:r>
                <w:rPr>
                  <w:rStyle w:val="InternetLink"/>
                  <w:rFonts w:ascii="Times New Roman" w:hAnsi="Times New Roman"/>
                  <w:color w:val="0000FF"/>
                  <w:sz w:val="18"/>
                  <w:u w:val="single"/>
                </w:rPr>
                <w:t>Form of Fiscal Year 2024 Restricted Stock Grant Agreement with non-employee directors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5, 2014; Exhibit 10.8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6">
              <w:r>
                <w:rPr>
                  <w:rStyle w:val="InternetLink"/>
                  <w:rFonts w:ascii="Times New Roman" w:hAnsi="Times New Roman"/>
                  <w:color w:val="0000FF"/>
                  <w:sz w:val="18"/>
                  <w:u w:val="single"/>
                </w:rPr>
                <w:t>Form of Fiscal Year 2025 Restricted Stock Grant Agreement for non-employee directors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10.10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7">
              <w:r>
                <w:rPr>
                  <w:rStyle w:val="InternetLink"/>
                  <w:rFonts w:ascii="Times New Roman" w:hAnsi="Times New Roman"/>
                  <w:color w:val="0000FF"/>
                  <w:sz w:val="18"/>
                  <w:u w:val="single"/>
                </w:rPr>
                <w:t>Form of Stock Grant Agreement for non-employee directors</w:t>
              </w:r>
            </w:hyperlink>
            <w:hyperlink r:id="rId18">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10.11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19">
              <w:r>
                <w:rPr>
                  <w:rStyle w:val="InternetLink"/>
                  <w:rFonts w:ascii="Times New Roman" w:hAnsi="Times New Roman"/>
                  <w:color w:val="0000FF"/>
                  <w:sz w:val="18"/>
                  <w:u w:val="single"/>
                </w:rPr>
                <w:t>Form of Restricted Stock Grant Agreement for Named Executive Officers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October 31, 2025; Exhibit 10.2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0">
              <w:r>
                <w:rPr>
                  <w:rStyle w:val="InternetLink"/>
                  <w:rFonts w:ascii="Times New Roman" w:hAnsi="Times New Roman"/>
                  <w:color w:val="0000FF"/>
                  <w:sz w:val="18"/>
                  <w:u w:val="single"/>
                </w:rPr>
                <w:t>Non-Employee Director Compensation Program for Fiscal Year 2026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October 31, 2025; Exhibit 10.1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1">
              <w:r>
                <w:rPr>
                  <w:rStyle w:val="InternetLink"/>
                  <w:rFonts w:ascii="Times New Roman" w:hAnsi="Times New Roman"/>
                  <w:color w:val="0000FF"/>
                  <w:sz w:val="18"/>
                  <w:u w:val="single"/>
                </w:rPr>
                <w:t>Form of Fiscal Year 2026 Performance Restricted Stock Unit Award Agreement for Named Executive Officers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Quarterly Report on Form 10-Q (filed on October 31, 2025; Exhibit 10.3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2">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23">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4">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25">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10.2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6">
              <w:r>
                <w:rPr>
                  <w:rStyle w:val="InternetLink"/>
                  <w:rFonts w:ascii="Times New Roman" w:hAnsi="Times New Roman"/>
                  <w:color w:val="0000FF"/>
                  <w:sz w:val="18"/>
                  <w:u w:val="single"/>
                </w:rPr>
                <w:t>Restricted Stock Award Agreement under the Strattec Security Corporation 2024 Equity Incentive Plan between the Company and Jennifer L. Slater, dated October 25, 2024</w:t>
              </w:r>
            </w:hyperlink>
            <w:hyperlink r:id="rId27">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10.3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8">
              <w:r>
                <w:rPr>
                  <w:rStyle w:val="InternetLink"/>
                  <w:rFonts w:ascii="Times New Roman" w:hAnsi="Times New Roman"/>
                  <w:color w:val="0000FF"/>
                  <w:sz w:val="18"/>
                  <w:u w:val="single"/>
                </w:rPr>
                <w:t>Performance Restricted Stock Unit Award Agreement under the Strattec Security Corporation 2024 Equity Incentive Plan, between the Company and Jennifer L. Slater, dated October 25,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31, 2024; Exhibit 10.4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29">
              <w:r>
                <w:rPr>
                  <w:rStyle w:val="InternetLink"/>
                  <w:rFonts w:ascii="Times New Roman" w:hAnsi="Times New Roman"/>
                  <w:color w:val="0000FF"/>
                  <w:sz w:val="18"/>
                  <w:u w:val="single"/>
                </w:rPr>
                <w:t>Restricted Stock Unit Award Agreement under the Strattec Security Corporation 2024 Equity Incentive Plan between the Company and Matthew P. Pauli, dated November 13, 2024</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7, 2025; Exhibit 10.9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8"/>
                  <w:u w:val="single"/>
                </w:rPr>
                <w:t>Strattec Security Corporation Employee Stock Purchase Plan</w:t>
              </w:r>
            </w:hyperlink>
            <w:hyperlink r:id="rId31">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Quarterly Report on Form 10-Q (filed on February 8, 2024; Exhibit 10.1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32">
              <w:r>
                <w:rPr>
                  <w:rStyle w:val="InternetLink"/>
                  <w:rFonts w:ascii="Times New Roman" w:hAnsi="Times New Roman"/>
                  <w:color w:val="0000FF"/>
                  <w:sz w:val="18"/>
                  <w:u w:val="single"/>
                </w:rPr>
                <w:t>Equity Restructuring Agreement between the Company and WITTE Automotive GmbH, dated June 29, 2023</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September 7, 2023; Exhibit 10.22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33">
              <w:r>
                <w:rPr>
                  <w:rStyle w:val="InternetLink"/>
                  <w:rFonts w:ascii="Times New Roman" w:hAnsi="Times New Roman"/>
                  <w:color w:val="0000FF"/>
                  <w:sz w:val="18"/>
                  <w:u w:val="single"/>
                </w:rPr>
                <w:t>Amended and Restated Strattec Security Corporation Supplemental Executive Retirement Plan</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Current Report on Form 8-K (filed on October 10, 2013; Exhibit 99.1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sz w:val="18"/>
              </w:rPr>
            </w:pPr>
            <w:r>
              <w:rPr>
                <w:rFonts w:ascii="Times New Roman" w:hAnsi="Times New Roman"/>
                <w:color w:val="000000"/>
                <w:sz w:val="18"/>
              </w:rPr>
              <w:t>10.25</w:t>
            </w: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r:id="rId34">
              <w:r>
                <w:rPr>
                  <w:rStyle w:val="InternetLink"/>
                  <w:rFonts w:ascii="Times New Roman" w:hAnsi="Times New Roman"/>
                  <w:color w:val="0000FF"/>
                  <w:sz w:val="18"/>
                  <w:u w:val="single"/>
                </w:rPr>
                <w:t>Strattec Security Corporation Short-Term Incentive Plan for Executive Officers and Corporate Officers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Annual Report on Form 10-K (filed on August 25, 2025; Exhibit 10.25 therein)</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19</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w:anchor="strt-ex19.htm">
              <w:r>
                <w:rPr>
                  <w:rStyle w:val="InternetLink"/>
                  <w:rFonts w:ascii="Times New Roman" w:hAnsi="Times New Roman"/>
                  <w:color w:val="0000FF"/>
                  <w:sz w:val="18"/>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598"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244" w:type="dxa"/>
            <w:tcBorders/>
            <w:tcMar>
              <w:top w:w="0" w:type="dxa"/>
              <w:left w:w="0" w:type="dxa"/>
              <w:bottom w:w="0" w:type="dxa"/>
              <w:right w:w="0" w:type="dxa"/>
            </w:tcMar>
            <w:vAlign w:val="center"/>
          </w:tcPr>
          <w:p>
            <w:pPr>
              <w:pStyle w:val="TableContents"/>
              <w:bidi w:val="0"/>
              <w:spacing w:before="120" w:after="120"/>
              <w:jc w:val="left"/>
              <w:rPr/>
            </w:pPr>
            <w:hyperlink w:anchor="strt-ex21.htm">
              <w:r>
                <w:rPr>
                  <w:rStyle w:val="InternetLink"/>
                  <w:rFonts w:ascii="Times New Roman" w:hAnsi="Times New Roman"/>
                  <w:color w:val="0000FF"/>
                  <w:sz w:val="18"/>
                  <w:u w:val="single"/>
                </w:rPr>
                <w:t>Subsidiaries of the Company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
        <w:gridCol w:w="146"/>
        <w:gridCol w:w="6474"/>
        <w:gridCol w:w="146"/>
        <w:gridCol w:w="3003"/>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pPr>
            <w:hyperlink w:anchor="strt-ex23_1.htm">
              <w:r>
                <w:rPr>
                  <w:rStyle w:val="InternetLink"/>
                  <w:rFonts w:ascii="Times New Roman" w:hAnsi="Times New Roman"/>
                  <w:color w:val="0000FF"/>
                  <w:sz w:val="18"/>
                  <w:u w:val="single"/>
                </w:rPr>
                <w:t>Consent of Independent Registered Public Accounting Firm dated August 28, 2026</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pPr>
            <w:hyperlink w:anchor="strt-ex31_1.htm">
              <w:r>
                <w:rPr>
                  <w:rStyle w:val="InternetLink"/>
                  <w:rFonts w:ascii="Times New Roman" w:hAnsi="Times New Roman"/>
                  <w:color w:val="0000FF"/>
                  <w:sz w:val="18"/>
                  <w:u w:val="single"/>
                </w:rPr>
                <w:t>Rule 13a-14(a) Certification for Jennifer L. Slater, Chief Executive Officer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pPr>
            <w:hyperlink w:anchor="strt-ex31_2.htm">
              <w:r>
                <w:rPr>
                  <w:rStyle w:val="InternetLink"/>
                  <w:rFonts w:ascii="Times New Roman" w:hAnsi="Times New Roman"/>
                  <w:color w:val="0000FF"/>
                  <w:sz w:val="18"/>
                  <w:u w:val="single"/>
                </w:rPr>
                <w:t>Rule 13a-14(a) Certification for Matthew P. Pauli, Chief Financial Officer</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Filed herewith</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pPr>
            <w:hyperlink w:anchor="strt-ex32.htm">
              <w:r>
                <w:rPr>
                  <w:rStyle w:val="InternetLink"/>
                  <w:rFonts w:ascii="Times New Roman" w:hAnsi="Times New Roman"/>
                  <w:color w:val="0000FF"/>
                  <w:sz w:val="18"/>
                  <w:u w:val="single"/>
                </w:rPr>
                <w:t>18 U.S.C. Section 1350 Certifications</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Furnished herewith</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pPr>
            <w:hyperlink r:id="rId35">
              <w:r>
                <w:rPr>
                  <w:rStyle w:val="InternetLink"/>
                  <w:rFonts w:ascii="Times New Roman" w:hAnsi="Times New Roman"/>
                  <w:color w:val="0000FF"/>
                  <w:sz w:val="18"/>
                  <w:u w:val="single"/>
                </w:rPr>
                <w:t>Excess Incentive Compensation Recovery (Clawback) Policy</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Annual report on Form 10-K (filed on August 25, 2025; Exhibit 97 therein)</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Inline XBRL documents (the Inline XBRL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647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3003" w:type="dxa"/>
            <w:tcBorders/>
            <w:tcMar>
              <w:top w:w="0" w:type="dxa"/>
              <w:left w:w="0" w:type="dxa"/>
              <w:bottom w:w="0" w:type="dxa"/>
              <w:right w:w="0" w:type="dxa"/>
            </w:tcMar>
            <w:vAlign w:val="center"/>
          </w:tcPr>
          <w:p>
            <w:pPr>
              <w:pStyle w:val="TableContents"/>
              <w:bidi w:val="0"/>
              <w:spacing w:before="120" w:after="120"/>
              <w:jc w:val="left"/>
              <w:rPr/>
            </w:pPr>
            <w:r>
              <w:rPr/>
              <w:t> </w:t>
            </w:r>
          </w:p>
        </w:tc>
      </w:tr>
    </w:tbl>
    <w:p>
      <w:pPr>
        <w:pStyle w:val="TextBody"/>
        <w:bidi w:val="0"/>
        <w:spacing w:before="120" w:after="120"/>
        <w:jc w:val="both"/>
        <w:rPr>
          <w:rFonts w:ascii="Times New Roman" w:hAnsi="Times New Roman"/>
          <w:color w:val="000000"/>
          <w:sz w:val="18"/>
        </w:rPr>
      </w:pPr>
      <w:r>
        <w:rPr>
          <w:rFonts w:ascii="Times New Roman" w:hAnsi="Times New Roman"/>
          <w:color w:val="000000"/>
          <w:sz w:val="18"/>
        </w:rPr>
        <w:t>** Management contract or compensatory plan or arrangement</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bookmarkStart w:id="46" w:name="item_16_form_10k_summary"/>
      <w:bookmarkEnd w:id="46"/>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bookmarkStart w:id="47" w:name="signatures"/>
      <w:bookmarkEnd w:id="47"/>
      <w:r>
        <w:rPr>
          <w:rFonts w:ascii="Times New Roman" w:hAnsi="Times New Roman"/>
          <w:b/>
          <w: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of the Securities Exchange Act of 1934, the Registrant has duly caused this report to be signed on its behalf by the undersigned, thereunto duly authorized.</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Strattec Security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Slater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28,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401"/>
        <w:gridCol w:w="146"/>
        <w:gridCol w:w="2911"/>
        <w:gridCol w:w="146"/>
        <w:gridCol w:w="150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Date</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28,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L. Slater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 Jack Liebau,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 Jack Liebau,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Matteo Anversa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Matteo Anversa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Tina Chang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Tina Chang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W. Florsheim,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W. Florsheim,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Lisman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Bruce Lisman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P. Pauli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28, 2026</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Matthew P. Pauli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 Treasurer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8" w:name="schedule_ii"/>
      <w:bookmarkEnd w:id="48"/>
      <w:r>
        <w:rPr>
          <w:rFonts w:ascii="Times New Roman" w:hAnsi="Times New Roman"/>
          <w:b/>
          <w:color w:val="000000"/>
          <w:sz w:val="20"/>
        </w:rPr>
        <w:t>STRATTEC SECURITY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SCHEDULE II - VALUATION AND QUALIFYING ACCOUNTS</w:t>
      </w:r>
    </w:p>
    <w:p>
      <w:pPr>
        <w:pStyle w:val="TextBody"/>
        <w:bidi w:val="0"/>
        <w:jc w:val="left"/>
        <w:rPr>
          <w:rFonts w:ascii="Times New Roman" w:hAnsi="Times New Roman"/>
          <w:b/>
          <w:i/>
          <w:color w:val="000000"/>
          <w:sz w:val="20"/>
        </w:rPr>
      </w:pPr>
      <w:r>
        <w:rPr>
          <w:rFonts w:ascii="Times New Roman" w:hAnsi="Times New Roman"/>
          <w:b/>
          <w:i/>
          <w:color w:val="000000"/>
          <w:sz w:val="20"/>
        </w:rPr>
        <w:t>(in thousands)</w:t>
      </w:r>
    </w:p>
    <w:p>
      <w:pPr>
        <w:pStyle w:val="TextBody"/>
        <w:pBdr>
          <w:bottom w:val="single" w:sz="12"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9"/>
        <w:gridCol w:w="146"/>
        <w:gridCol w:w="361"/>
        <w:gridCol w:w="980"/>
        <w:gridCol w:w="146"/>
        <w:gridCol w:w="146"/>
        <w:gridCol w:w="341"/>
        <w:gridCol w:w="923"/>
        <w:gridCol w:w="146"/>
        <w:gridCol w:w="146"/>
        <w:gridCol w:w="310"/>
        <w:gridCol w:w="709"/>
        <w:gridCol w:w="166"/>
        <w:gridCol w:w="146"/>
        <w:gridCol w:w="891"/>
        <w:gridCol w:w="703"/>
        <w:gridCol w:w="146"/>
        <w:gridCol w:w="146"/>
        <w:gridCol w:w="271"/>
        <w:gridCol w:w="737"/>
        <w:gridCol w:w="396"/>
      </w:tblGrid>
      <w:tr>
        <w:trPr/>
        <w:tc>
          <w:tcPr>
            <w:tcW w:w="2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Charged to </w:t>
              <w:br/>
              <w:t>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Activity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Deductions from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Balance at </w:t>
              <w:br/>
              <w:t>End of Period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9" w:name="strt-ex3_1.htm"/>
      <w:bookmarkStart w:id="50" w:name="ksstrtex3_1"/>
      <w:bookmarkEnd w:id="49"/>
      <w:bookmarkEnd w:id="50"/>
      <w:r>
        <w:rPr>
          <w:rFonts w:ascii="Times New Roman" w:hAnsi="Times New Roman"/>
          <w:color w:val="000000"/>
          <w:sz w:val="20"/>
        </w:rPr>
        <w:t>Exhibit 3.1</w:t>
      </w:r>
      <w:r>
        <w:br w:type="page"/>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18"/>
        </w:rPr>
        <w:t>Explanatory Note</w:t>
      </w:r>
      <w:r>
        <w:rPr>
          <w:rFonts w:ascii="Times New Roman" w:hAnsi="Times New Roman"/>
          <w:color w:val="000000"/>
          <w:sz w:val="18"/>
        </w:rPr>
        <w:t>: This exhibit is being filed pursuant to Item 601(b)(3)(i) of Regulation S-K which requires a conformed version of our charter reflecting all amendments in one document. Therefore, the document below reflects the Amended and Restated Articles of Incorporation of Strattec Security Corporation as filed with the Wisconsin Department of Financial Institutions on February 22, 1995 (i) revised for the first amendment filed with the Wisconsin Department of Financial Institutions on October 10, 2019, (ii) further revised for the second amendment filed with the Wisconsin Department of Financial Institutions on October 22, 2021, and (iii) further revised for the third amendment filed with the Wisconsin Department of Financial Institutions on October 23, 2024. The signature page hereto has been omitted for clarity.</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CONFORMED VERSION OF</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ARTICLES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STRATTEC SECURITY CORPORATION</w:t>
      </w:r>
    </w:p>
    <w:p>
      <w:pPr>
        <w:pStyle w:val="TextBody"/>
        <w:bidi w:val="0"/>
        <w:jc w:val="center"/>
        <w:rPr>
          <w:rFonts w:ascii="Times New Roman" w:hAnsi="Times New Roman"/>
          <w:b/>
          <w:color w:val="000000"/>
          <w:sz w:val="20"/>
        </w:rPr>
      </w:pPr>
      <w:r>
        <w:rPr>
          <w:rFonts w:ascii="Times New Roman" w:hAnsi="Times New Roman"/>
          <w:b/>
          <w:color w:val="000000"/>
          <w:sz w:val="20"/>
        </w:rPr>
        <w:t>AS AMENDED</w:t>
      </w:r>
    </w:p>
    <w:p>
      <w:pPr>
        <w:pStyle w:val="TextBody"/>
        <w:bidi w:val="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name of the Corporation is STRATTEC SECURITY CORPORATION.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purposes for which the Corporation is organized are to engage in any lawful activity within the purposes for which a corporation may be organized under the Wisconsin Business Corporation Law (“WBCL”).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Capital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aggregate number of shares which the Corporation shall have authority to issue is 18 million shares, consisting of one class only, designated as “Common Stock,” of the par value of $.01 per share.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Preemptive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 holder of any stock of the Corporation shall have any preemptive right to purchase, subscribe for, or otherwise acquire any shares of stock of the Corporation of any class now or hereafter authorized, or any securities exchangeable for or convertible into such shares.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authorized number of directors of the corporation which shall constitute the entire Board of Directors shall be such as from time to time shall be determined by a majority of the then authorized number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each annual meeting of shareholders, directors shall be elected to hold office for a term expiring at the annual meeting of shareholders held in the year following the year of their election.</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3.1</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decrease in the number of directors constituting the Board of Directors shall shorten the term of an incumbent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director may be removed from office by the shareholders, but only for cause and only by the affirmative vote of a majority of the votes then entitled to be cast in an election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vacancy occurring on the Board of Directors, including, but not limited to, a vacancy created by an increase in the number of directors or the removal of a director, shall be filled only by the affirmative vote of a majority of the directors then in office, even if such majority is less than a quorum of the Board of Directors, or by a sole remaining director. If no director remains in office, any vacancy may be filled by the shareholders. Any director elected to fill a vacancy shall serve until the next election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director shall be elected by a majority of the votes cast by the shares entitled to vote in the election of directors at a meeting at which a quorum is present except in a contested election of directors, in which case such directors will be elected by a plurality of the votes cast by the shares entitled to vote at a meeting.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Shareholder Consent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Action required or permitted by the WBCL to be taken at a shareholders meeting may be taken without a meeting by shareholders who would be entitled to vote at a meeting shares with voting power sufficient to cast not less than the minimum number of votes that would be necessary to authorize or take the action at a meeting at which all shares entitled to vote were present and voted.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action must be evidenced by one or more written consents describing the action taken, signed by the shareholders consenting thereto and delivered to the Corporation for inclusion in its corporate records.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a consent has the effect of a meeting vote and may be described as such in any document. Such action shall be effective when consents representing the required number of shares are delivered to the Corporation, unless the consent specifies a different effective date.</w:t>
      </w:r>
    </w:p>
    <w:p>
      <w:pPr>
        <w:pStyle w:val="TextBody"/>
        <w:bidi w:val="0"/>
        <w:spacing w:before="0" w:after="20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Registered Office and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address of the initial registered office of the Corporation is 1000 North Water Street, Suite 2100, Milwaukee, Milwaukee County, Wisconsin 53202 and the name of its initial registered agent at such address is Subsidiary Service, Inc.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ARTICLE VIII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Incorporator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name and address of the incorporator is James M. Bedore, Esq., 1000 North Water Street, Suite 2100, Milwaukee, Wisconsin, 53202.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1" w:name="strt-ex4_1.htm"/>
      <w:bookmarkStart w:id="52" w:name="ksstrtex4_1"/>
      <w:bookmarkEnd w:id="51"/>
      <w:bookmarkEnd w:id="52"/>
      <w:r>
        <w:rPr>
          <w:rFonts w:ascii="Times New Roman" w:hAnsi="Times New Roman"/>
          <w:color w:val="000000"/>
          <w:sz w:val="20"/>
        </w:rPr>
        <w:t>Exhibit 4.1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DESCRIPTION OF SECURITIES</w:t>
      </w:r>
    </w:p>
    <w:p>
      <w:pPr>
        <w:pStyle w:val="TextBody"/>
        <w:bidi w:val="0"/>
        <w:spacing w:before="120" w:after="240"/>
        <w:jc w:val="left"/>
        <w:rPr>
          <w:rFonts w:ascii="Times New Roman" w:hAnsi="Times New Roman"/>
          <w:sz w:val="20"/>
        </w:rPr>
      </w:pPr>
      <w:r>
        <w:rPr>
          <w:rFonts w:ascii="Times New Roman" w:hAnsi="Times New Roman"/>
          <w:i/>
          <w:color w:val="000000"/>
          <w:sz w:val="20"/>
        </w:rPr>
        <w:t>References to “Strattec” and the “Company” herein are, unless the context otherwise indicates, only to Strattec Security Corporation and not to any of its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Our Common Stock, par value $0.01 per share, is the only class of securities of the Company registered under Section 12 of the Securities Exchange Act of 1934.</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information concerning capital stock of Strattec. The summaries and descriptions below do not purport to be complete statements of the relevant provisions of the Company’s Amended and Restated Articles of Incorporation, as amended, and our By-Laws, as amended and restated, and are entirely qualified by these documents. For additional information, you should look at our Amended and Restated Articles of Incorporation, as amended, and our By-Laws, as amended and restated, copies of which are on file with the SEC as exhibits to our periodic reports and are incorporated by reference.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Shares Outstanding</w:t>
      </w:r>
      <w:r>
        <w:rPr>
          <w:rFonts w:ascii="Times New Roman" w:hAnsi="Times New Roman"/>
          <w:color w:val="000000"/>
          <w:sz w:val="20"/>
        </w:rPr>
        <w:t>. The Company is authorized to issue up to 18 million shares of common stock, par value $0.01 per share (the “</w:t>
      </w:r>
      <w:r>
        <w:rPr>
          <w:rFonts w:ascii="Times New Roman" w:hAnsi="Times New Roman"/>
          <w:b/>
          <w:color w:val="000000"/>
          <w:sz w:val="20"/>
        </w:rPr>
        <w:t>Common Stock</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Dividends</w:t>
      </w:r>
      <w:r>
        <w:rPr>
          <w:rFonts w:ascii="Times New Roman" w:hAnsi="Times New Roman"/>
          <w:color w:val="000000"/>
          <w:sz w:val="20"/>
        </w:rPr>
        <w:t>. Subject to any limitations under Wisconsin law, holders of shares of Common Stock are entitled to receive dividends when, as and if declared by the Company’s Board of Directors (the “</w:t>
      </w:r>
      <w:r>
        <w:rPr>
          <w:rFonts w:ascii="Times New Roman" w:hAnsi="Times New Roman"/>
          <w:b/>
          <w:color w:val="000000"/>
          <w:sz w:val="20"/>
        </w:rPr>
        <w:t>Board</w:t>
      </w:r>
      <w:r>
        <w:rPr>
          <w:rFonts w:ascii="Times New Roman" w:hAnsi="Times New Roman"/>
          <w:color w:val="000000"/>
          <w:sz w:val="20"/>
        </w:rPr>
        <w:t xml:space="preserve">”) out of funds legally available for that purpose. </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Voting Rights</w:t>
      </w:r>
      <w:r>
        <w:rPr>
          <w:rFonts w:ascii="Times New Roman" w:hAnsi="Times New Roman"/>
          <w:color w:val="000000"/>
          <w:sz w:val="20"/>
        </w:rPr>
        <w:t>. Each share of Common Stock is entitled to one vote on all matters submitted to a vote of stockholders. Holders of shares of Common Stock do not have cumulative voting rights. At a meeting of stockholders at which a quorum is present, for all matters other than the election of directors, a matter is approved if the votes cast favoring the matter exceed the votes cast opposing the matter unless the matter is one upon which a different vote is required by our Amended and Restated Articles of Incorporation, as amended, our By-Laws, as amended and restated, or the Wisconsin Business Corporation Law. The Company has adopted a majority voting standard in uncontested elections of directors. Accordingly, a majority of the votes cast in favor of the election of each nominee director is required for the election of that director. Under the Wisconsin Business Corporation Law, the affirmative vote of stockholders holding at least a majority of the shares entitled to vote is generally required to approve (i) a merger to which we are a party, (ii) the sale, lease, exchange or other disposition of all or substantially all of our assets, (iii) an amendment to our Amended and Restated Articles of Incorporation, as amended, which requires a stockholder vote, and (iv) our dissolution.</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Other Rights</w:t>
      </w:r>
      <w:r>
        <w:rPr>
          <w:rFonts w:ascii="Times New Roman" w:hAnsi="Times New Roman"/>
          <w:color w:val="000000"/>
          <w:sz w:val="20"/>
        </w:rPr>
        <w:t>. In the event of any liquidation, dissolution or winding up of the Company, holders of shares of Common Stock are entitled to ratable distribution of the remaining assets available for distribution to stockholders after the payment of all of our debts and other liabilities. The shares of Common Stock are not subject to redemption by operation of a sinking fund or otherwise. Holders of shares of Common Stock are not currently entitled to pre-emptive rights and have no conversion or subscription rights.</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Listing</w:t>
      </w:r>
      <w:r>
        <w:rPr>
          <w:rFonts w:ascii="Times New Roman" w:hAnsi="Times New Roman"/>
          <w:color w:val="000000"/>
          <w:sz w:val="20"/>
        </w:rPr>
        <w:t>. The Common Stock is traded on The Nasdaq Stock Market LLC under the trading symbol “STRT.”</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Miscellaneous</w:t>
      </w:r>
      <w:r>
        <w:rPr>
          <w:rFonts w:ascii="Times New Roman" w:hAnsi="Times New Roman"/>
          <w:color w:val="000000"/>
          <w:sz w:val="20"/>
        </w:rPr>
        <w:t>. All outstanding shares of our common stock are fully paid and not liable to further calls or assessments by us.</w:t>
      </w:r>
    </w:p>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4.1</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Wisconsin Anti-Takeover Provisions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Section 180.1150 of the Wisconsin Business Corporation Law, unless the board of directors otherwise specifies, the voting power of shares of a “resident domestic corporation,” such as us, which are held by any person holding in excess of 20% of the voting power of our stock will be limited to 10% of the full voting power of the shares. This statutory voting restriction does not apply to shares acquired directly from us, acquired in a transaction incident to which our stockholders vote to restore the full voting power of the shares and under other circumstances more fully described in Section 180.1150 of the Wisconsin Business Corporation Law.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Sections 180.1141 through 180.1144 of the Wisconsin Business Corporation Law provide that a “resident domestic corporation,” such as us, may not engage in a “business combination” with a person beneficially owning 10% or more of the voting power of our outstanding stock (an “interested stockholder”) for three years after the date the interested stockholder acquired its 10% or greater interest, unless the business combination or the acquisition of the 10% or greater interest was approved before the stock acquisition date by our Board of Directors. After the three-year period, a business combination that was not so approved can be completed only if it is approved by a majority of the outstanding voting shares not held by the interested stockholder or is made at a specified price intended to provide a fair price for the shares held by noninterested stockholders.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Sections 180.1130 through 180.1132 of the Wisconsin Business Corporation Law provide that a “resident domestic corporation,” such as us, may not engage in a “business combination” with a person beneficially owning 10% or more of the voting power of our outstanding stock (a “significant stockholder”) unless the business combination either satisfies certain fair price criteria or the business combination is approved by at least 80% of the voting power of our stock and at least two-thirds of the voting power of our stock not beneficially owned by the significant stockholder. </w:t>
      </w:r>
    </w:p>
    <w:p>
      <w:pPr>
        <w:pStyle w:val="TextBody"/>
        <w:bidi w:val="0"/>
        <w:spacing w:before="0" w:after="240"/>
        <w:jc w:val="left"/>
        <w:rPr>
          <w:rFonts w:ascii="Times New Roman" w:hAnsi="Times New Roman"/>
          <w:sz w:val="20"/>
        </w:rPr>
      </w:pPr>
      <w:r>
        <w:rPr>
          <w:rFonts w:ascii="Times New Roman" w:hAnsi="Times New Roman"/>
          <w:i/>
          <w:color w:val="000000"/>
          <w:sz w:val="20"/>
          <w:u w:val="single"/>
        </w:rPr>
        <w:t>Requirements for Advance Notification of Stockholder Nominations and Proposals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as amended and restated,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3" w:name="strt-ex10_7.htm"/>
      <w:bookmarkStart w:id="54" w:name="ksstrtex10_7"/>
      <w:bookmarkEnd w:id="53"/>
      <w:bookmarkEnd w:id="54"/>
      <w:r>
        <w:rPr>
          <w:rFonts w:ascii="Times New Roman" w:hAnsi="Times New Roman"/>
          <w:color w:val="000000"/>
          <w:sz w:val="20"/>
        </w:rPr>
        <w:t>Exhibit 10.7</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EMPLOYMENT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EMPLOYMENT AGREEMENT (this “Agreement”) is made as of the 4</w:t>
      </w:r>
      <w:r>
        <w:rPr>
          <w:rFonts w:ascii="Times New Roman" w:hAnsi="Times New Roman"/>
          <w:color w:val="000000"/>
          <w:sz w:val="13"/>
        </w:rPr>
        <w:t>th</w:t>
      </w:r>
      <w:r>
        <w:rPr>
          <w:rFonts w:ascii="Times New Roman" w:hAnsi="Times New Roman"/>
          <w:color w:val="000000"/>
          <w:sz w:val="20"/>
        </w:rPr>
        <w:t xml:space="preserve"> day of November, 2024, by and between STRATTEC SECURITY CORPORATION, a Wisconsin corporation (the “Company”), and Chey Becker - Varto (the “Employee”).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RECITAL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desires to employ the Employee and the Employee is willing to make the Employee’s services available to the Company on the terms and conditions set forth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AGREEMENTS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consideration of the premises and the mutual agreements which follow, the parties agree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0"/>
          <w:u w:val="single"/>
        </w:rPr>
        <w:t>Employment</w:t>
      </w:r>
      <w:r>
        <w:rPr>
          <w:rFonts w:ascii="Times New Roman" w:hAnsi="Times New Roman"/>
          <w:color w:val="000000"/>
          <w:sz w:val="20"/>
        </w:rPr>
        <w:t>. The Company hereby employs the Employee and the Employee hereby accepts employment with the Company on the terms and conditions set forth in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color w:val="000000"/>
          <w:sz w:val="20"/>
          <w:u w:val="single"/>
        </w:rPr>
        <w:t>Term</w:t>
      </w:r>
      <w:r>
        <w:rPr>
          <w:rFonts w:ascii="Times New Roman" w:hAnsi="Times New Roman"/>
          <w:color w:val="000000"/>
          <w:sz w:val="20"/>
        </w:rPr>
        <w:t>. The Employee shall be employed by the Company for a period beginning on November 11, 2024 (the “Effective Date”) and ending on November 10, 2025, subject to the terms and conditions set forth in this Agreement; provided, however, that beginning on November 11, 2025 and on each anniversary thereafter, the term of employment under this Agreement shall automatically renew and be extended for an additional one-year period, unless either the Company or the Employee gives written notice of nonrenewal to the other party not less than 60 days prior to the end of the then-current term. The initial term, plus any extension thereof, shall hereinafter be referred to as the “Employment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color w:val="000000"/>
          <w:sz w:val="20"/>
          <w:u w:val="single"/>
        </w:rPr>
        <w:t>Position and Duties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Employment Period, the Employee shall serve as the Senior Vice President, Chief Commercial Officer of the Company. In such capacity, the Employee shall have the powers, duties, responsibilities, and authority customarily held by a person holding such position or its equivalent of an organization of a similar size and nature as the Company, as well as such other powers, duties, responsibilities, and authority as may be determined from time to time by the Company’s President and Chief Executive Officer (the “President and CEO”). The Employee shall also perform such other duties and hold such other positions related to the business of the Company and its Affiliates (as defined below) as may from time to time be reasonably requested by the President and CEO. The Employee shall report directly to the President and CEO. For purposes of this Agreement, an “Affiliate” means any corporation, general or limited partnership, limited liability company, joint venture, trust, association or organization which is, directly or indirectly, controlled by, or under common control with, the Company.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The Employee agrees to devote the Employee’s entire business time, effort, skill and attention to the proper discharge of the Employee’s duties hereunder and in furtherance of the business and interests of the Company and its Affiliates. However, the Employee will not be precluded from (i) managing the Employee’s passive personal investments, or (ii) subject to the prior written consent of the Company, participation in community, civic, charitable or other similar activities which do not unreasonably interfere with the Employee’s responsibilities hereunder or create a business or fiduciary conflict.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0"/>
        </w:rPr>
      </w:pPr>
      <w:r>
        <w:rPr>
          <w:rFonts w:ascii="Times New Roman" w:hAnsi="Times New Roman"/>
          <w:color w:val="000000"/>
          <w:sz w:val="20"/>
        </w:rPr>
        <w:t>The Employee understands and agrees that the Employee’s principal place of employment will be in the Auburn Hills, Michigan area. The Employee will ensure an effective amount of physical presence in Company offices, and the Employee acknowledges and agrees that the Employee may be required to travel for business in the course of performing the Employee’s duties for the Company and its Affiliates.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0"/>
        </w:rPr>
      </w:pPr>
      <w:r>
        <w:rPr>
          <w:rFonts w:ascii="Times New Roman" w:hAnsi="Times New Roman"/>
          <w:color w:val="000000"/>
          <w:sz w:val="20"/>
        </w:rPr>
        <w:t xml:space="preserve">Upon termination of the Employee’s employment hereunder for any reason, the Employee shall cease to hold any position as an officer or director (or any other similar position) of the Company or any Affiliate and shall resign from all positions as an officer or director (or any other similar position) in all corporations,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partnerships, limited liability companies or other entities for which the Employee is serving, at the Company’s request, as an officer or director (or in such other similar position).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color w:val="000000"/>
          <w:sz w:val="20"/>
          <w:u w:val="single"/>
        </w:rPr>
        <w:t>Compensation</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0"/>
          <w:u w:val="single"/>
        </w:rPr>
        <w:t>Base Salary</w:t>
      </w:r>
      <w:r>
        <w:rPr>
          <w:rFonts w:ascii="Times New Roman" w:hAnsi="Times New Roman"/>
          <w:color w:val="000000"/>
          <w:sz w:val="20"/>
        </w:rPr>
        <w:t>. During the Employment Period, the Employee shall receive a base salary at a rate of $350,000 per annum, subject to applicable taxes and withholdings, payable in accordance with the regular payroll practices of the Company, but not less frequently than monthly. The Employee’s base salary shall be subject to adjustment as may be determined from time to time in the Company’s sole discretion; provided, however, that any decrease in the Employee’s base salary can only be proportionately made in connection with Company-wide reductions in the salary rates for senior management of the Company (“Senior Management”) as determined by the Board of Directors of the Company (the “Board”) or the Compensation Committee of the Board (the “Compensation Committee”). The base salary in effect from time to time is referred to herein as the “Base Salary.”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0"/>
          <w:u w:val="single"/>
        </w:rPr>
        <w:t>Sign-On Bonus</w:t>
      </w:r>
      <w:r>
        <w:rPr>
          <w:rFonts w:ascii="Times New Roman" w:hAnsi="Times New Roman"/>
          <w:color w:val="000000"/>
          <w:sz w:val="20"/>
        </w:rPr>
        <w:t>. The Employee shall receive a one-time sign-on bonus of $125,000 (the "Sign-On Bonus"), which shall be paid no later than the first regular payroll date of the Company immediately following the Effective Date and which shall be subject to repayment under the circumstances described in Section 6(e).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0"/>
          <w:u w:val="single"/>
        </w:rPr>
        <w:t>Annual Bonus</w:t>
      </w:r>
      <w:r>
        <w:rPr>
          <w:rFonts w:ascii="Times New Roman" w:hAnsi="Times New Roman"/>
          <w:color w:val="000000"/>
          <w:sz w:val="20"/>
        </w:rPr>
        <w:t>. Commencing with fiscal year 2025, during the Employment Period, the Employee will be eligible to participate in and receive an annual bonus award (the “Annual Bonus”) under an annual incentive program established or maintained by the Company for its Senior Management, subject to the approval and discretion of the Compensation Committee. The initial target value of the Employee’s Annual Bonus shall be 45% of the Employee's Base Salary (the "Target Annual Bonus Amount"). The Annual Bonus shall be earned and accrued as of the last day of the applicable annual performance period and paid in a lump sum no later than the 15th day of the third month following the end of the taxable year of the Company or the taxable year of the Employee, whichever is later, in which such Annual Bonus is earned. The Annual Bonus shall be subject to the terms and conditions of the annual incentive program, as may be amended from time to time.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0"/>
          <w:u w:val="single"/>
        </w:rPr>
        <w:t>Equity-Based Compensation</w:t>
      </w:r>
      <w:r>
        <w:rPr>
          <w:rFonts w:ascii="Times New Roman" w:hAnsi="Times New Roman"/>
          <w:color w:val="000000"/>
          <w:sz w:val="20"/>
        </w:rPr>
        <w:t>. Commencing with fiscal year 2026, during the Employment Period, the Employee will be eligible to participate in any equity-based compensation plans established or maintained by the Company for its Senior Management. Any grants or awards under such plans shall be subject to the approval and discretion of the Compensation Committee and subject to the terms and conditions of the Company’s organizational documents, any applicable plan documents, and any individual award agreements, as such documents may be amended from time to time.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color w:val="000000"/>
          <w:sz w:val="20"/>
          <w:u w:val="single"/>
        </w:rPr>
        <w:t>Benefits and Reimbursements</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0"/>
          <w:u w:val="single"/>
        </w:rPr>
        <w:t>Benefits</w:t>
      </w:r>
      <w:r>
        <w:rPr>
          <w:rFonts w:ascii="Times New Roman" w:hAnsi="Times New Roman"/>
          <w:color w:val="000000"/>
          <w:sz w:val="20"/>
        </w:rPr>
        <w:t>. During the Employment Period, the Employee shall be eligible to participate in and receive benefits under the Company’s employee benefit plans, policies and programs applicable generally to other Senior Management, subject to the Employee’s satisfaction of all applicable eligibility conditions of such plans, policies, and programs. Notwithstanding anything in this Agreement to the contrary, the Company may amend, modify, discontinue or terminate at any time any employee benefit plan, policy, or program described in this Section 5(a), now existing or hereafter adopted, to the extent permitted by the terms of such plan, policy, or program and will not be required to compensate the Employee for such amendment, modification, discontinuance or termination. To the extent there is any conflict between the terms of this Agreement and the applicable employee benefit plan, policy, or program document, the terms of the applicable employee benefit plan, policy, or program document shall govern.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0"/>
          <w:u w:val="single"/>
        </w:rPr>
        <w:t>Reasonable Business Expenses</w:t>
      </w:r>
      <w:r>
        <w:rPr>
          <w:rFonts w:ascii="Times New Roman" w:hAnsi="Times New Roman"/>
          <w:color w:val="000000"/>
          <w:sz w:val="20"/>
        </w:rPr>
        <w:t>. Subject to the terms and conditions of the Company’s expense reimbursement policy, during the Employment Period, the Company shall pay or reimburse the Employee for reasonable expenses incurred by the Employee in connection with the performance of the Employee’s duties pursuant to this Agreement, including, but not limited to, travel expenses, expenses in connection with seminars, professional conventions or similar professional functions and other reasonable business expenses.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color w:val="000000"/>
          <w:sz w:val="20"/>
          <w:u w:val="single"/>
        </w:rPr>
        <w:t>Termination of Employment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0"/>
          <w:u w:val="single"/>
        </w:rPr>
        <w:t>Termination due to Death</w:t>
      </w:r>
      <w:r>
        <w:rPr>
          <w:rFonts w:ascii="Times New Roman" w:hAnsi="Times New Roman"/>
          <w:color w:val="000000"/>
          <w:sz w:val="20"/>
        </w:rPr>
        <w:t>. The Employment Period and the Employee’s employment with the Company shall automatically terminate upon the death of the Employee. In the event the Employee’s employment terminates due to the Employee’s death, the Employee’s beneficiary (as designated by the Employee in writing with the Company prior to the Employee’s death) shall be entitled to the Accrued Benefits. For purposes of this Agreement, “Accrued Benefits” means: (i) any Base Salary that is accrued but unpaid as of the date of the Employee’s termination of employment; (ii) any accrued, but unpaid, Annual Bonus for any fiscal year that ended on or prior to the date of the Employee’s termination of employment; (iii) any business expenses that are unreimbursed as of the date of the Employee’s termination of employment; and (iv) any rights and benefits (if any) provided under the employee benefit plans, policies, and programs of the Company, determined in accordance with the applicable terms and conditions of such plans, policies, and programs. Any amounts due under clauses (i) and (iii) of this Section 6(a) shall be paid in a lump sum within 30 days following the date of the Employee’s termination of employment and any amounts due under clause (ii) of this Section 6(a) shall be paid as promptly as practicable in accordance with the terms of the applicable annual incentive program. In the absence of a beneficiary designation by the Employee, or if the Employee’s beneficiary does not survive the Employee, payments and benefits described in this Section 6(a) will be paid to the Employee’s estate.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0"/>
          <w:u w:val="single"/>
        </w:rPr>
        <w:t>Termination due to Disability</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0"/>
        </w:rPr>
      </w:pPr>
      <w:r>
        <w:rPr>
          <w:rFonts w:ascii="Times New Roman" w:hAnsi="Times New Roman"/>
          <w:color w:val="000000"/>
          <w:sz w:val="20"/>
        </w:rPr>
        <w:t>The Company shall be entitled to terminate the Employment Period and the Employee’s employment with the Company at any time due to the Employee’s Disability (as defined below). In the event the Employee’s employment terminates due to the Employee’s Disability, the Employee shall be entitled to payment of the Accrued Benefits as described in Section 6(a).</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0"/>
        </w:rPr>
      </w:pPr>
      <w:r>
        <w:rPr>
          <w:rFonts w:ascii="Times New Roman" w:hAnsi="Times New Roman"/>
          <w:color w:val="000000"/>
          <w:sz w:val="20"/>
        </w:rPr>
        <w:t>For purposes of this Agreement, “Disability” means a physical or mental sickness or any injury which renders the Employee incapable of performing the essential functions of the Employee’s job (with or without reasonable accommodations) and which does or may be expected to continue for more than four months during any 12-month period, as determined by a physician who is selected by the agreement of the Employee and the Company. In the event of their failure to agree upon such a physician, the Company and the Employee shall each select a physician who together shall select a third physician who shall make the determination. Such determination shall be conclusive and binding upon the parties hereto. In the event the Employee shall be able to perform the essential functions of Employee’s job (with or without reasonable accommodations) following a period of Disability, and does so perform such duties, or such other duties as are prescribed by the President and CEO, for a period of three continuous months, any subsequent period of Disability shall be regarded as a new period of Disability for purposes of this Agreement. Termination of the Employment Period and the Employee’s employment hereunder due to the Employee’s Disability shall not change the Employee’s rights to receive benefits, if any, pursuant to any disability plan or policy then maintained by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0"/>
          <w:u w:val="single"/>
        </w:rPr>
        <w:t>Termination for Cause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the Employment Period and the Employee’s employment with the Company for Cause (as defined below) upon notice at any time to the Employee. In the event that the Company terminates the Employee’s employment for Cause, the Employee will be entitled to payment of the Accrued Benefits as described in Section 6(a); provided, however, that, subject to any applicable law, the Company shall have the right to set off any damages it incurs as a result of the Employee’s actions which constitute Cause from any amounts due to the Employee. For purposes of clarity, the Employee shall not be entitled to any bonus, including any Annual Bonus, that has not been paid as of the date of the Employee’s termination of employment for Cause.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For purposes of this Agreement, “Cause” means: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(I) the Employee’s continued failure substantially to perform in good faith the Employee’s assigned duties in any material respect (other than as a result of total or partial incapacity due to physical or mental illness), or (II) a material breach or default of any term of this Agreement, in each case which continued failure, breach or default is not substantially cured in all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material respects within 30 days after the Company provides the Employee with written notice thereof in sufficient detail describing such failure or material breach or default;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the Employee’s engagement in (I) fraud, embezzlement, theft or dishonesty in the course of the Employee’s employment with the Company, or (II) other conduct that results or could reasonably be expected to result in material harm to the business or reputation of the Company or any of its Affiliates as determined in good faith by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 the Employee’s indictment for, charge with, arrest for, conviction of, or plea of guilty or nolo contendere to, (I) a felony or (II) a crime other than a felony which involves moral turpitude or a breach of trust or fiduciary duty owed to the Company or any of its Affiliates;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the Employee’s disclosure of trade secrets or confidential information of the Company or any of its Affiliates that results or could reasonably be expected to result in material harm to the business or reputation of the Company or any of its Affiliates as determined in good faith by the Company; 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 the Employee’s material violation of any policy of the Company or any of its Affiliates that applies to the Employee which violation is not substantially cured in all material respects within 30 days after the Company provides the Employee with written notice thereof in sufficient detail describing such violation.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0"/>
          <w:u w:val="single"/>
        </w:rPr>
        <w:t>Termination by the Company Without Cause or by the Employee for Good Reason</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the Employment Period and the Employee’s employment with the Company for any reason upon 30 days’ prior written notice to the Employee. The Employee may resign and terminate the Employment Period and the Employee’s employment with the Company for Good Reason (as defined below). If the Employee’s employment is terminated by the Company for any reason other than the reasons set forth in Sections 6(a), (b) or (c) or the Employee resigns and terminates the Employee’s employment for Good Reason, the Employee will be entitled to the following payments and benefits: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0"/>
        </w:rPr>
      </w:pPr>
      <w:r>
        <w:rPr>
          <w:rFonts w:ascii="Times New Roman" w:hAnsi="Times New Roman"/>
          <w:color w:val="000000"/>
          <w:sz w:val="20"/>
        </w:rPr>
        <w:t>payment of the Accrued Benefits as described in Section 6(a);</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 single lump sum payment equal to one year of the Employee’s Base Salary in effect on the date of the Employee’s termination of employment. Such payment shall be made on the first business day following the date that is 60 days after the date of the Employee’s termination of employment;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0"/>
        </w:rPr>
      </w:pPr>
      <w:r>
        <w:rPr>
          <w:rFonts w:ascii="Times New Roman" w:hAnsi="Times New Roman"/>
          <w:color w:val="000000"/>
          <w:sz w:val="20"/>
        </w:rPr>
        <w:t>if the Employee timely elects COBRA continuation coverage under the Company’s group medical, dental and vision plans, the Company shall pay directly or reimburse the Employee for a portion of such COBRA premiums (on a monthly, after-tax basis) equal to the employer portion of the premium for active Company employees until the earlier of (I) 12 months following the date of the Employee’s termination of employment or (II) the date the Employee becomes eligible for coverage under the group health plan of another employer.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For purposes of this Agreement, the following shall constitute “Good Reason,” unless the Employee shall have consented otherwise in writing: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 material diminution in the Employee’s Base Salary or Target Annual Bonus Amount, other than a general reduction in salary rates or target annual bonuses that (I) affect all Senior Management in substantially the same proportions as approved by the Board or the Compensation Committee, and (II) is no greater than 15% of the Employee’s then-current Base Salary and Target Annual Bonus in the aggregate;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material breach by the Company or any of its Affiliates of this Agreement;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a material diminution in the Employee’s authority, duties or responsibilities as set forth in Section 3 of this Agreement, provided that it is understood that a change in title alone shall not constitute a material diminution in authority, duties, or responsibilities; 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a change in the Employee’s principal office to a location that is more than 50 miles from the Employee’s principal office on the Effective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foregoing, Good Reason shall not be deemed to exist unless (x) the Employee gives the Company written notice within 90 days after the Employee first has knowledge of the occurrence of the event which the Employee believes constitutes the basis for Good Reason, specifying the particular act or failure to act which the Employee believes constitutes the basis for Good Reason, (y) the Company fails to cure such act or failure to act within 60 days after receipt of such notice, and (z) the Employee terminates the Employee’s employment within 60 days after the end of the period specified in clause (y).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0"/>
          <w:u w:val="single"/>
        </w:rPr>
        <w:t>Termination by the Employee without Good Reason</w:t>
      </w:r>
      <w:r>
        <w:rPr>
          <w:rFonts w:ascii="Times New Roman" w:hAnsi="Times New Roman"/>
          <w:color w:val="000000"/>
          <w:sz w:val="20"/>
        </w:rPr>
        <w:t>. The Employee may resign and terminate the Employment Period and the Employee’s employment with the Company without Good Reason upon providing the Company at least 30 days’ prior written notice. In such event, the Employee shall be entitled to the Accrued Benefits as described in Section 6(a). For purposes of clarity, the Employee shall not be entitled to any bonus, including any Annual Bonus, that has not been paid as of the date of the Employee’s termination of employment. If Employee’s employment so terminates prior to the first anniversary of the Effective Date, Employee shall repay all of the Sign-on Bonus to the Company; if Employee’s employment so terminates prior to the second anniversary of the Effective Date, Employee shall repay one-half of the Sign-on Bonus to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0"/>
          <w:u w:val="single"/>
        </w:rPr>
        <w:t>Change of Control</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0"/>
        </w:rPr>
      </w:pPr>
      <w:r>
        <w:rPr>
          <w:rFonts w:ascii="Times New Roman" w:hAnsi="Times New Roman"/>
          <w:color w:val="000000"/>
          <w:sz w:val="20"/>
        </w:rPr>
        <w:t>In the event that, during the Employment Period, a Change of Control of the Company occurs and, within three months prior to or within 24 months following such Change of Control, the Employment Period and the Employee’s employment with the Company is terminated without Cause or is terminated by the Employee for Good Reason, in each case as described in Section 6(d) of this Agreement, then, in lieu of any payment or benefit that might be provided under Section 6(d), the Employee will be entitled to the following payments and benefits: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0"/>
        </w:rPr>
      </w:pPr>
      <w:r>
        <w:rPr>
          <w:rFonts w:ascii="Times New Roman" w:hAnsi="Times New Roman"/>
          <w:color w:val="000000"/>
          <w:sz w:val="20"/>
        </w:rPr>
        <w:t>payment of the Accrued Benefits as described in Section 6(a);</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 single lump sum payment equal to one and one-half times the sum of (I) the Employee’s Base Salary in effect on the date of the Employee’s termination of employment, plus (II) an amount equal to the average of the Annual Bonuses paid to the Employee for the two completed fiscal years immediately preceding the date of the Employee's termination of employment or, if less than two completed fiscal years have occurred during the Employment Period, the current target Annual Bonus amount. Such payment shall be made on the first business day following the date that is 60 days after the date of the Employee’s termination of employment;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0"/>
        </w:rPr>
      </w:pPr>
      <w:r>
        <w:rPr>
          <w:rFonts w:ascii="Times New Roman" w:hAnsi="Times New Roman"/>
          <w:color w:val="000000"/>
          <w:sz w:val="20"/>
        </w:rPr>
        <w:t xml:space="preserve">if the Employee timely elects COBRA continuation coverage under the Company’s group medical, dental and vision plans, the Company shall pay directly or reimburse the Employee for a portion of such COBRA premiums (on a monthly, after-tax basis) equal to the employer portion of the premium for active Company employees for a period of 18 months immediately following the date of the Employee’s termination of employment; and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0"/>
        </w:rPr>
      </w:pPr>
      <w:r>
        <w:rPr>
          <w:rFonts w:ascii="Times New Roman" w:hAnsi="Times New Roman"/>
          <w:color w:val="000000"/>
          <w:sz w:val="20"/>
        </w:rPr>
        <w:t>reimbursement of up to $10,000 for reasonable executive outplacement service expenses incurred by the Employee within one year following the date of the Employee’s termination of employment, provided that such services are provided by a nationally recognized executive outplacement firm and are at a level appropriate for the most senior officers.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0"/>
        </w:rPr>
      </w:pPr>
      <w:r>
        <w:rPr>
          <w:rFonts w:ascii="Times New Roman" w:hAnsi="Times New Roman"/>
          <w:color w:val="000000"/>
          <w:sz w:val="20"/>
        </w:rPr>
        <w:t>For purposes of this Agreement, a “Change of Control” means the occurrence of any of the following events: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the acquisition by any individual, entity or group (within the meaning of Section 13(d)(3) or 14(d)(2) of the Securities Exchange Act of 1934, as amended (the “Exchange Act”)) (a “Person”) of beneficial ownership (within the meaning of Rule 13d-3 promulgated under the Exchange Act) of 50% or more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provided, however, that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subsection (C) of this Section 6(f)(ii); or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0"/>
        </w:rPr>
      </w:pPr>
      <w:r>
        <w:rPr>
          <w:rFonts w:ascii="Times New Roman" w:hAnsi="Times New Roman"/>
          <w:color w:val="000000"/>
          <w:sz w:val="20"/>
        </w:rPr>
        <w:t>the consummation by the Company of a reorganization, merger or consolidation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through one or more subsidiaries) in substantially the same proportions as their ownership, immediately prior to such Business Combination of the Outstanding Company Common Stock and Outstanding Company Voting Securities, as the case may be, (II) no Person (excluding any employee benefit plan (or related trust) of the Company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consummation of (I) a complete liquidation or dissolution of the Company or (II) the sale or other disposition of all or substantially all of the assets of the Company, other than to a corporation, with respect to which following such sale or other disposition, (a)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 or other disposition in substantially the same proportion as their ownership, immediately prior to such sale or other disposition, of the Outstanding Company Common Stock and Outstanding Company Voting Securities, as the case may be, (b) less than 20%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any Person (excluding any employee benefit plan (or related trust) of the Company or such corporation), except to the extent that such Person owned 20% or more of the Outstanding Company Common Stock or Outstanding Company Voting Securities prior to the sale or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pStyle w:val="TextBody"/>
        <w:bidi w:val="0"/>
        <w:jc w:val="both"/>
        <w:rPr>
          <w:rFonts w:ascii="Times New Roman" w:hAnsi="Times New Roman"/>
          <w:color w:val="000000"/>
          <w:sz w:val="20"/>
        </w:rPr>
      </w:pPr>
      <w:r>
        <w:rPr>
          <w:rFonts w:ascii="Times New Roman" w:hAnsi="Times New Roman"/>
          <w:color w:val="000000"/>
          <w:sz w:val="20"/>
        </w:rPr>
        <w:t xml:space="preserve">All references in this Section 6(f)(ii) to common stock shall include, to the extent applicable, references to equity interests, and all references in this Section 6(f)(ii) to directors or board of directors shall include, to the extent applicable, references to any other applicable management body of a person.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rFonts w:ascii="Times New Roman" w:hAnsi="Times New Roman"/>
          <w:color w:val="000000"/>
          <w:sz w:val="20"/>
          <w:u w:val="single"/>
        </w:rPr>
        <w:t>Non-Renewal of the Employment Period</w:t>
      </w:r>
      <w:r>
        <w:rPr>
          <w:rFonts w:ascii="Times New Roman" w:hAnsi="Times New Roman"/>
          <w:color w:val="000000"/>
          <w:sz w:val="20"/>
        </w:rPr>
        <w:t>. The Employee’s employment shall terminate automatically upon expiration of the Employment Period if either party gives written notice of non-renewal as set forth in Section 2. For purposes of clarity, (i) a notice of non-renewal by the Company shall be considered a termination by the Company without Cause under Section 6(d), and (ii)] a notice of non-renewal by the Employee shall be considered a termination by the Employee without Good Reason under Section 6(e).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rFonts w:ascii="Times New Roman" w:hAnsi="Times New Roman"/>
          <w:color w:val="000000"/>
          <w:sz w:val="20"/>
          <w:u w:val="single"/>
        </w:rPr>
        <w:t>Release</w:t>
      </w:r>
      <w:r>
        <w:rPr>
          <w:rFonts w:ascii="Times New Roman" w:hAnsi="Times New Roman"/>
          <w:color w:val="000000"/>
          <w:sz w:val="20"/>
        </w:rPr>
        <w:t>. All payments and benefits, other than the Accrued Benefits, that may be payable or provided to the Employee under this Section 6 (the “Conditioned Benefits”) are subject to (i) the Employee’s (or, to the extent applicable, the Employee’s estate’s) execution and non-revocation of a release of claims, in a form to be provided by the Company (the “Release”), and (ii) the expiration of any revocation period contained in the Release, in each case, within 60 days following the date of the Employee’s termination of employment. To the extent that any of the Conditioned Benefits constitutes “nonqualified deferred compensation” for purposes of Section 409A of the Internal Revenue Code of 1986, as amended (the “Code”), any payment or provision of such Conditioned Benefits otherwise scheduled to occur prior to the 60</w:t>
      </w:r>
      <w:r>
        <w:rPr>
          <w:rFonts w:ascii="Times New Roman" w:hAnsi="Times New Roman"/>
          <w:color w:val="000000"/>
          <w:sz w:val="13"/>
        </w:rPr>
        <w:t>th</w:t>
      </w:r>
      <w:r>
        <w:rPr>
          <w:color w:val="000000"/>
        </w:rPr>
        <w:t xml:space="preserve"> </w:t>
      </w:r>
      <w:r>
        <w:rPr>
          <w:rFonts w:ascii="Times New Roman" w:hAnsi="Times New Roman"/>
          <w:color w:val="000000"/>
          <w:sz w:val="20"/>
        </w:rPr>
        <w:t>day following the date of the Employee’s termination of employment, but for the condition on executing the Release set forth herein, shall not be made until the first regularly scheduled payroll date following such 60</w:t>
      </w:r>
      <w:r>
        <w:rPr>
          <w:rFonts w:ascii="Times New Roman" w:hAnsi="Times New Roman"/>
          <w:color w:val="000000"/>
          <w:sz w:val="13"/>
        </w:rPr>
        <w:t>th</w:t>
      </w:r>
      <w:r>
        <w:rPr>
          <w:color w:val="000000"/>
        </w:rPr>
        <w:t xml:space="preserve"> </w:t>
      </w:r>
      <w:r>
        <w:rPr>
          <w:rFonts w:ascii="Times New Roman" w:hAnsi="Times New Roman"/>
          <w:color w:val="000000"/>
          <w:sz w:val="20"/>
        </w:rPr>
        <w:t>day (regardless of when the Release is delivered), after which any remaining Conditioned Benefits shall thereafter be provided to the Employee according to the applicable schedule set forth herein.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0"/>
          <w:u w:val="single"/>
        </w:rPr>
        <w:t>Effect of Termination</w:t>
      </w:r>
      <w:r>
        <w:rPr>
          <w:rFonts w:ascii="Times New Roman" w:hAnsi="Times New Roman"/>
          <w:color w:val="000000"/>
          <w:sz w:val="20"/>
        </w:rPr>
        <w:t xml:space="preserve">. The termination of the Employee’s employment pursuant to Sections 6(b), (c), (d), (e) or (f) shall not affect the Employee’s obligations as described in Sections 7, 8, 9 and 10. The rights and duties of the parties under Sections 6 through 25 of this Agreement shall survive the termination of this Agreement.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color w:val="000000"/>
          <w:sz w:val="20"/>
          <w:u w:val="single"/>
        </w:rPr>
        <w:t>Noncompetition</w:t>
      </w:r>
      <w:r>
        <w:rPr>
          <w:rFonts w:ascii="Times New Roman" w:hAnsi="Times New Roman"/>
          <w:color w:val="000000"/>
          <w:sz w:val="20"/>
        </w:rPr>
        <w:t>. The parties agree that the Company’s customer contacts, customer relations, and goodwill are established and maintained at great expense, and that by virtue of the Employee’s employment with the Company, the Employee will have unique and extensive exposure to and personal contact with the Company’s customers, and that the Employee will be able to establish a unique relationship with the Company’s customers that will enable the Employee, both during and after employment, to unfairly compete with the Company. Further, the parties agree that the terms and conditions of the following restrictive covenants are reasonable and necessary for the protection of the Company’s legitimate business interests, trade secrets, and Confidential Information (as defined below) and to prevent great damage or loss to the Company as a result of action taken by the Employee. The Employee acknowledges that the noncompete restrictions and nondisclosure of Confidential Information restrictions contained in this Agreement are reasonable and that the consideration provided in this Agreement is sufficient to fully and adequately compensate the Employee for agreeing to such restrictions. The Employee acknowledges that the Employee could continue to actively pursue the Employee’s career and earn sufficient compensation in the same or similar business without breaching any of the restrictions contained in this Agreement. For purposes of this Section 7, the Company shall include any Affiliates.</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0"/>
          <w:u w:val="single"/>
        </w:rPr>
        <w:t>During Term of Employment</w:t>
      </w:r>
      <w:r>
        <w:rPr>
          <w:rFonts w:ascii="Times New Roman" w:hAnsi="Times New Roman"/>
          <w:color w:val="000000"/>
          <w:sz w:val="20"/>
        </w:rPr>
        <w:t>. The Employee hereby covenants and agrees that, during the Employee’s employment with the Company, the Employee shall not, directly or indirectly, either individually or as an employee, principal, agent, partner, shareholder, owner, trustee, beneficiary, co-venturer, distributor, consultant, or in any other capacity, participate in, become associated with, provide assistance to, engage in, or have a financial or other interest in any business, activity, or enterprise which is competitive with or a supplier to the Company or any successor or assign of the Company. The ownership of less than a one percent interest in a corporation whose shares are traded in a recognized stock exchange or traded in the over-the-counter market, even though that corporation may be a competitor of the Company, shall not be deemed financial participation in a competitor.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0"/>
          <w:u w:val="single"/>
        </w:rPr>
        <w:t>Upon Termination of Employment</w:t>
      </w:r>
      <w:r>
        <w:rPr>
          <w:rFonts w:ascii="Times New Roman" w:hAnsi="Times New Roman"/>
          <w:color w:val="000000"/>
          <w:sz w:val="20"/>
        </w:rPr>
        <w:t>. The Employee agrees that during a period after termination of the Employee’s employment with the Company equal to the shorter of one year or the duration of the Employee’s employment with the Company, the Employee will not, directly or indirectly, either individually or as an employee, agent, partner, shareholder, owner, trustee, beneficiary, co-venturer, distributor, consultant or in any other capacity: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Canvass or solicit from any person or entity who is a Customer (as defined below) of the Company any business in competition with the business of the Company or the successors or assigns of the Company, including the canvassing or soliciting of Competitive Business (as defined below) from any individual or entity which is or was a Customer of the Company. For purposes of this Agreement: (A) ”Customer” means any customer of the Company or any of its Affiliates with whom the Employee has had contact in connection with the performance of the Employee’s services under this Agreement in the five year period preceding the effective date of the Employee’s termination of employment for any reason and who has purchased the products or services offered by the Company or its Affiliates during the 24-month period preceding the effective date of the Employee’s termination of employment for any reason; and (B) ”Competitive Business” means a business which is involved in designing, developing, manufacturing, or marketing mechanical, electro-mechanical, and/or electronic security and access control products in the global motor vehicle industry.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Request or advise any of the Customers or suppliers of the Company with whom the Employee had contact in connection with the performance of the Employee’s services in the five year period preceding the effective date of the Employee’s termination for any reason and who currently have or have had business relationships with the Company within the 24-month period preceding the date of the Employee’s termination of employment for any reason, to withdraw, curtail, or cancel any of their business or relations with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Induce or attempt to induce any executive or management level employee or other employee with a specialized position that could be used to unfairly compete against the Company as may be identified in writing to the Employee by the Company from time to time, to terminate his or her relationship or breach his or her agreements with the Company in order to provide competing services to a Competitive Business; provided, however, that publication of general solicitations not targeted (A) to an individual employee, sales representative, consultant or other personnel of the Company, or (B) primarily to employees, sales representatives, consultants or other personnel of the Company (and any hiring pursuant to such general solicitations) shall not constitute inducement for purposes of, or otherwise violate, this Section 7(b)(iii).</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color w:val="000000"/>
          <w:sz w:val="20"/>
          <w:u w:val="single"/>
        </w:rPr>
        <w:t>Confidential Information</w:t>
      </w:r>
      <w:r>
        <w:rPr>
          <w:rFonts w:ascii="Times New Roman" w:hAnsi="Times New Roman"/>
          <w:color w:val="000000"/>
          <w:sz w:val="20"/>
        </w:rPr>
        <w:t xml:space="preserve">. For purposes of this Agreement, “Confidential Information” means proprietary non-public information that is possessed by or developed for the Company and that relates to the Company’s business or technology, including but not limited to inventions and other intellectual property (to the extent not a trade secret as described in Section 9), computer program object and source codes, business plans and strategies, existing or proposed bids, technical developments, existing or proposed research projects, financial or business projections, investments, marketing plans and strategies, pricing and cost information, negotiations strategies, sales strategies, training information and materials, employee compensation and other confidential personnel information, customer or potential customer lists, customer purchasing history, and information generated for customer engagements. Confidential Information also includes information received by the Company from others which the Company has an obligation to treat as confidential, including information obtained in connection with customer engagements. Confidential Information shall not include information that is or becomes available to the public through no wrongful act or omission of the Employee. The parties agree that the Company’s Confidential Information was established at great expense and protected as confidential information and provides the Company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a substantial competitive advantage in conducting its business. The parties further agree that by virtue of the Employee’s employment with the Company, the Employee will have access to, and be entrusted with, Confidential Information and that the Company would suffer great loss and injury if the Employee would disclose this information or use it to compete with the Company. Therefore, the Employee agrees that, during the term of the Employee’s employment, and until the first to occur of (a) such time as the Confidential Information becomes generally available to the public through no fault of the Employee, (b) such time as the Confidential Information no longer provides a benefit to the Company, or (c) the second anniversary of the date of the Employee’s termination of employment with the Company, the Employee will not, directly or indirectly, in any capacity, use or disclose, or cause to be used or disclosed, any Confidential Information in any geographic area in which such use or disclosure could harm the Company’s business interests. This provision does not prohibit the Employee’s use of general skills acquired prior to or during employment by the Company, as long as such use does not involve the use or disclosure of Confidential Information or trade secrets. The restrictions contained in this Section 8 apply to Confidential Information regardless of the fact that the Employee may have participated in the discovery and the development of that information. The Employee also agrees and acknowledges that the Employee will comply with all applicable laws regarding insider trading or the use of material nonpublic information in connection with the trading of securities. For purposes of this Section 8, the Company shall include any Affiliates.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color w:val="000000"/>
          <w:sz w:val="20"/>
          <w:u w:val="single"/>
        </w:rPr>
        <w:t>Common Law of Torts and Trade Secrets</w:t>
      </w:r>
      <w:r>
        <w:rPr>
          <w:rFonts w:ascii="Times New Roman" w:hAnsi="Times New Roman"/>
          <w:color w:val="000000"/>
          <w:sz w:val="20"/>
        </w:rPr>
        <w:t>. The parties agree that nothing in this Agreement shall be construed to limit or negate the common law of torts or trade secrets where it provides the Company with broader protection than that provided herein. During the Employee’s employment with the Company, the Employee shall do what is reasonably necessary to prevent misappropriation or unauthorized disclosure of the Company’s trade secrets. After termination of the Employee’s employment, the Employee shall not use or disclose the Company’s trade secrets for as long as they remain trade secrets.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color w:val="000000"/>
          <w:sz w:val="20"/>
          <w:u w:val="single"/>
        </w:rPr>
        <w:t>Non-Disparagement</w:t>
      </w:r>
      <w:r>
        <w:rPr>
          <w:rFonts w:ascii="Times New Roman" w:hAnsi="Times New Roman"/>
          <w:color w:val="000000"/>
          <w:sz w:val="20"/>
        </w:rPr>
        <w:t>. The Employee agrees that, during the Employee’s employment with the Company and following the Employee’s termination of employment, the Employee shall not make, publish, or communicate any public statements which disparage or defame the Company or any Affiliate or any of their respective directors, officers, or employees. Nothing in the foregoing is intended to prohibit the Employee from making truthful statements or providing information when required by law, regulation, or order of a court, governmental body, or regulatory body having appropriate jurisdiction, provided that such compliance does not exceed that required by the law, regulation, or order.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color w:val="000000"/>
          <w:sz w:val="20"/>
          <w:u w:val="single"/>
        </w:rPr>
        <w:t>Specific Performance and Injunctive Relief</w:t>
      </w:r>
      <w:r>
        <w:rPr>
          <w:rFonts w:ascii="Times New Roman" w:hAnsi="Times New Roman"/>
          <w:color w:val="000000"/>
          <w:sz w:val="20"/>
        </w:rPr>
        <w:t>. The Employee acknowledges and agrees that irreparable injury to the Company may result in the event the Employee breaches any covenant and agreement contained in Sections 7, 8, 9, and 10 and that the remedy at law for the breach of any such covenant will be inadequate. Therefore, if the Employee engages in any act in violation of the provisions of Section 7, 8, 9, or 10, the Employee agrees that the Company shall be entitled, in addition to specific performance and such other remedies and damages as may be available to it by law or under this Agreement, to injunctive relief to enforce the provisions of Sections 7, 8, 9, and 10.</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w:t>
      </w:r>
    </w:p>
    <w:p>
      <w:pPr>
        <w:pStyle w:val="TextBody"/>
        <w:bidi w:val="0"/>
        <w:jc w:val="both"/>
        <w:rPr/>
      </w:pPr>
      <w:r>
        <w:rPr>
          <w:rFonts w:ascii="Times New Roman" w:hAnsi="Times New Roman"/>
          <w:color w:val="000000"/>
          <w:sz w:val="20"/>
          <w:u w:val="single"/>
        </w:rPr>
        <w:t>Defend Trade Secrets Act Notice</w:t>
      </w:r>
      <w:r>
        <w:rPr>
          <w:rFonts w:ascii="Times New Roman" w:hAnsi="Times New Roman"/>
          <w:color w:val="000000"/>
          <w:sz w:val="20"/>
        </w:rPr>
        <w:t>. The Employee is hereby advised that, pursuant to the federal Defend Trade Secrets Act, an individual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an individual who files a lawsuit alleging retaliation by an employer for reporting a suspected violation of law may disclose the trade secret to the individual’s attorney and use the trade secret information in the court proceeding if the individual (1) files any document containing the trade secret under seal and (2) does not otherwise disclose the trade secret, except pursuant to court order. The Employee understands that any disclosure by the Employee of the Company’s trade secrets not done in good faith consistent with the above may subject the Employee to substantial damages, including punitive damages and attorney’s fees.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w:t>
      </w:r>
    </w:p>
    <w:p>
      <w:pPr>
        <w:pStyle w:val="TextBody"/>
        <w:bidi w:val="0"/>
        <w:jc w:val="both"/>
        <w:rPr/>
      </w:pPr>
      <w:r>
        <w:rPr>
          <w:rFonts w:ascii="Times New Roman" w:hAnsi="Times New Roman"/>
          <w:color w:val="000000"/>
          <w:sz w:val="20"/>
          <w:u w:val="single"/>
        </w:rPr>
        <w:t>Return of Property</w:t>
      </w:r>
      <w:r>
        <w:rPr>
          <w:rFonts w:ascii="Times New Roman" w:hAnsi="Times New Roman"/>
          <w:color w:val="000000"/>
          <w:sz w:val="20"/>
        </w:rPr>
        <w:t xml:space="preserve">. The Employee agrees that, upon the Employee’s termination of employment, the Employee shall promptly return to the Company any keys, credit cards, passes, confidential documents or material, or other property belonging to the Company or any Affiliate, and the Employee shall also return all writings, files,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pPr>
      <w:r>
        <w:rPr>
          <w:rFonts w:ascii="Times New Roman" w:hAnsi="Times New Roman"/>
          <w:color w:val="000000"/>
          <w:sz w:val="20"/>
        </w:rPr>
        <w:t>records, correspondence, notebooks, notes and other documents and things (including any copies thereof) containing Confidential Information or relating to the business or proposed business of the Company or any Affiliate or containing any Confidential Information relating to the Company of any Affiliate, except any personal diaries, calendars, rolodexes or personal notes or correspondence.</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w:t>
      </w:r>
    </w:p>
    <w:p>
      <w:pPr>
        <w:pStyle w:val="TextBody"/>
        <w:bidi w:val="0"/>
        <w:jc w:val="both"/>
        <w:rPr/>
      </w:pPr>
      <w:r>
        <w:rPr>
          <w:rFonts w:ascii="Times New Roman" w:hAnsi="Times New Roman"/>
          <w:color w:val="000000"/>
          <w:sz w:val="20"/>
          <w:u w:val="single"/>
        </w:rPr>
        <w:t>Cooperation</w:t>
      </w:r>
      <w:r>
        <w:rPr>
          <w:rFonts w:ascii="Times New Roman" w:hAnsi="Times New Roman"/>
          <w:color w:val="000000"/>
          <w:sz w:val="20"/>
        </w:rPr>
        <w:t>. The Employee agrees that during the Employee’s employment with the Company and following the Employee’s termination of employment, the Employee shall be reasonably available to testify truthfully on behalf of the Company or any Affiliate in any action, suit, or proceeding, whether civil, criminal, administrative, or investigative, and to assist the Company, or any Affiliate, in all reasonable respects in any such action, suit, or proceeding, by providing information and meeting and consulting with the Board, or its representatives or counsel, or representatives or counsel to the Company or any Affiliate, as requested; provided, however, that the same does not materially interfere with Employee’s then-current professional activities.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w:t>
      </w:r>
    </w:p>
    <w:p>
      <w:pPr>
        <w:pStyle w:val="TextBody"/>
        <w:bidi w:val="0"/>
        <w:jc w:val="both"/>
        <w:rPr/>
      </w:pPr>
      <w:r>
        <w:rPr>
          <w:rFonts w:ascii="Times New Roman" w:hAnsi="Times New Roman"/>
          <w:color w:val="000000"/>
          <w:sz w:val="20"/>
          <w:u w:val="single"/>
        </w:rPr>
        <w:t>Representations of the Employee; Obligations to Former Employers</w:t>
      </w:r>
      <w:r>
        <w:rPr>
          <w:rFonts w:ascii="Times New Roman" w:hAnsi="Times New Roman"/>
          <w:color w:val="000000"/>
          <w:sz w:val="20"/>
        </w:rPr>
        <w:t xml:space="preserve">. As a material term of this Agreement, the Employee represents that the Employee has disclosed to the Company all agreements, restrictions, or obligations that: (i) purport to impose on the Employee any post-employment obligations with respect to a current or former employer; (ii) may affect the Employee’s ability to assume employment with the Company; (iii) may affect the Employee’s ability to perform the duties of chief Commercial Officer of the Company; or (iv) may result in forfeiture or recoupment of any compensation (whether in the form of cash or equity) paid or payable by a current or former employer. As a material term of this Agreement, the Employee represents that the Employee is in compliance with, and will continue to comply with, the terms of all lawful, enforceable, and ongoing post-employment restrictions from the Employee’s current or prior employment with respect to (I) nondisclosure of confidential information and trade secrets, (II) noncompetition, and (III) non-solicitation of employees, customers, and suppliers. The Employee understands and agrees that the Company does not wish to receive, and the Employee shall not provide to the Company, any confidential, proprietary or trade secret information that is owned by a third party, including any former employer of the Employee, that the Employee is contractually or otherwise legally prohibited from providing to the Company or any of its Affiliates.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w:t>
      </w:r>
    </w:p>
    <w:p>
      <w:pPr>
        <w:pStyle w:val="TextBody"/>
        <w:bidi w:val="0"/>
        <w:jc w:val="both"/>
        <w:rPr/>
      </w:pPr>
      <w:r>
        <w:rPr>
          <w:rFonts w:ascii="Times New Roman" w:hAnsi="Times New Roman"/>
          <w:color w:val="000000"/>
          <w:sz w:val="20"/>
          <w:u w:val="single"/>
        </w:rPr>
        <w:t>Waiver</w:t>
      </w:r>
      <w:r>
        <w:rPr>
          <w:rFonts w:ascii="Times New Roman" w:hAnsi="Times New Roman"/>
          <w:color w:val="000000"/>
          <w:sz w:val="20"/>
        </w:rPr>
        <w:t>. The failure of either party to insist, in any one or more instances, upon performance of the terms or conditions of this Agreement shall not be construed as a waiver or a relinquishment of any right granted hereunder or of the future performance of any such term, covenant or condition.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w:t>
      </w:r>
    </w:p>
    <w:p>
      <w:pPr>
        <w:pStyle w:val="TextBody"/>
        <w:bidi w:val="0"/>
        <w:jc w:val="both"/>
        <w:rPr/>
      </w:pPr>
      <w:r>
        <w:rPr>
          <w:rFonts w:ascii="Times New Roman" w:hAnsi="Times New Roman"/>
          <w:color w:val="000000"/>
          <w:sz w:val="20"/>
          <w:u w:val="single"/>
        </w:rPr>
        <w:t>Notices</w:t>
      </w:r>
      <w:r>
        <w:rPr>
          <w:rFonts w:ascii="Times New Roman" w:hAnsi="Times New Roman"/>
          <w:color w:val="000000"/>
          <w:sz w:val="20"/>
        </w:rPr>
        <w:t>. Any notice to be given hereunder shall be deemed sufficient if addressed in writing, and delivered by registered or certified mail or delivered personally, in the case of the Company, to the Chief People Officer at the Company’s principal business office, and in the case of the Employee, to the Employee’s address appearing on the records of the Company, or to such other address as the Employee may designate in writing to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w:t>
      </w:r>
    </w:p>
    <w:p>
      <w:pPr>
        <w:pStyle w:val="TextBody"/>
        <w:bidi w:val="0"/>
        <w:jc w:val="both"/>
        <w:rPr/>
      </w:pPr>
      <w:r>
        <w:rPr>
          <w:rFonts w:ascii="Times New Roman" w:hAnsi="Times New Roman"/>
          <w:color w:val="000000"/>
          <w:sz w:val="20"/>
          <w:u w:val="single"/>
        </w:rPr>
        <w:t>Severability</w:t>
      </w:r>
      <w:r>
        <w:rPr>
          <w:rFonts w:ascii="Times New Roman" w:hAnsi="Times New Roman"/>
          <w:color w:val="000000"/>
          <w:sz w:val="20"/>
        </w:rPr>
        <w:t xml:space="preserve">. In the event that any provision shall be held to be invalid or unenforceable for any reason whatsoever, it is agreed such invalidity or unenforceability shall not affect any other provision of this Agreement and the remaining covenants, restrictions and provisions hereof shall remain in full force and effect and any court of competent jurisdiction may so modify the objectionable provision as to make it valid, reasonable and enforceable. </w:t>
      </w:r>
      <w:r>
        <w:rPr>
          <w:rFonts w:ascii="Times New Roman" w:hAnsi="Times New Roman"/>
          <w:color w:val="000000"/>
          <w:sz w:val="20"/>
          <w:u w:val="single"/>
        </w:rPr>
        <w:t>Furthermore, the parties specifically acknowledge the above covenant not to compete in Section 7 and covenant not to disclose Confidential Information in Section 8 are separate and independent agreements</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w:t>
      </w:r>
    </w:p>
    <w:p>
      <w:pPr>
        <w:pStyle w:val="TextBody"/>
        <w:bidi w:val="0"/>
        <w:jc w:val="both"/>
        <w:rPr/>
      </w:pPr>
      <w:r>
        <w:rPr>
          <w:rFonts w:ascii="Times New Roman" w:hAnsi="Times New Roman"/>
          <w:color w:val="000000"/>
          <w:sz w:val="20"/>
          <w:u w:val="single"/>
        </w:rPr>
        <w:t>Entire Agreement; Amendment</w:t>
      </w:r>
      <w:r>
        <w:rPr>
          <w:rFonts w:ascii="Times New Roman" w:hAnsi="Times New Roman"/>
          <w:color w:val="000000"/>
          <w:sz w:val="20"/>
        </w:rPr>
        <w:t>. This instrument contains the entire agreement of the parties relating to the subject matter hereof, and the parties have made no agreement, representations, or warranties relating to the subject matter of this Agreement that are not set forth herein. This Agreement may be amended only by mutual written agreement of the parties. This Agreement may be executed in one or more counterparts.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20.</w:t>
      </w:r>
    </w:p>
    <w:p>
      <w:pPr>
        <w:pStyle w:val="TextBody"/>
        <w:bidi w:val="0"/>
        <w:jc w:val="both"/>
        <w:rPr/>
      </w:pPr>
      <w:r>
        <w:rPr>
          <w:rFonts w:ascii="Times New Roman" w:hAnsi="Times New Roman"/>
          <w:color w:val="000000"/>
          <w:sz w:val="20"/>
          <w:u w:val="single"/>
        </w:rPr>
        <w:t>Governing Law</w:t>
      </w:r>
      <w:r>
        <w:rPr>
          <w:rFonts w:ascii="Times New Roman" w:hAnsi="Times New Roman"/>
          <w:color w:val="000000"/>
          <w:sz w:val="20"/>
        </w:rPr>
        <w:t>. This Agreement shall be governed by and construed exclusively in accordance with the laws of the State of Wisconsin, regardless of choice of law requirements. The parties hereby consent to the jurisdiction of the state courts of the State of Wisconsin and of any federal court in the venue of Wisconsin for the purpose of any suit, action or proceeding arising out of or related to this Agreement, and expressly waive any and all objections they may have as to venue in any of such courts.</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w:t>
      </w:r>
    </w:p>
    <w:p>
      <w:pPr>
        <w:pStyle w:val="TextBody"/>
        <w:bidi w:val="0"/>
        <w:jc w:val="both"/>
        <w:rPr/>
      </w:pPr>
      <w:r>
        <w:rPr>
          <w:rFonts w:ascii="Times New Roman" w:hAnsi="Times New Roman"/>
          <w:color w:val="000000"/>
          <w:sz w:val="20"/>
          <w:u w:val="single"/>
        </w:rPr>
        <w:t>Dispute Resolution</w:t>
      </w:r>
      <w:r>
        <w:rPr>
          <w:rFonts w:ascii="Times New Roman" w:hAnsi="Times New Roman"/>
          <w:color w:val="000000"/>
          <w:sz w:val="20"/>
        </w:rPr>
        <w:t>. The parties hereto shall attempt in good faith to resolve disputes arising out of or relating to this Agreement as provided in this Section 21. Subject to a party’s right to seek equitable remedies, including but not limited to specific performance and injunctive relief, as provided by Section 11 above, any dispute not resolved in writing within 21 days may be referred by either party to mediation involving a mediator (a third party neutral), trained and experienced in the mediation process and mutually agreed to by the parties. The mediator shall ascribe to and follow the commercial rules for the American Arbitration Association then in effect unless the parties mutually agree in writing to waive this provision for mediators in conducting and managing the mediation process. Expenses for the mediation shall be shared equally by the parties unless otherwise agreed during the mediation process. The parties may be accompanied in the mediation process by legal counsel and/or other persons mutually agreed to by the parties and the mediator. All participants will openly, honestly, and in good faith participate in the mediation. The mediation may be terminated at any time, for any reason, by the mediator or by either party. Any resolution reached by the parties during the mediation shall be recorded in writing and agreed to by the parties. Such resolution may be drafted and/or revised by the parties’ legal counsel and shall be legally binding on the parties. Each party shall bear their own costs for their legal counsel unless otherwise agreed during the mediation process.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22.</w:t>
      </w:r>
    </w:p>
    <w:p>
      <w:pPr>
        <w:pStyle w:val="TextBody"/>
        <w:bidi w:val="0"/>
        <w:jc w:val="both"/>
        <w:rPr/>
      </w:pPr>
      <w:r>
        <w:rPr>
          <w:rFonts w:ascii="Times New Roman" w:hAnsi="Times New Roman"/>
          <w:color w:val="000000"/>
          <w:sz w:val="20"/>
          <w:u w:val="single"/>
        </w:rPr>
        <w:t>Assignment and Survivorship of Benefits</w:t>
      </w:r>
      <w:r>
        <w:rPr>
          <w:rFonts w:ascii="Times New Roman" w:hAnsi="Times New Roman"/>
          <w:color w:val="000000"/>
          <w:sz w:val="20"/>
        </w:rPr>
        <w:t>. This Agreement shall be binding upon and inure to the benefit of and shall be enforceable by and against the Company and its successors and assigns and the Employee and the Employee’s heirs, beneficiaries and legal representatives. It is agreed that the rights and obligations of the Employee may not be delegated or assigned.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23.</w:t>
      </w:r>
    </w:p>
    <w:p>
      <w:pPr>
        <w:pStyle w:val="TextBody"/>
        <w:bidi w:val="0"/>
        <w:jc w:val="both"/>
        <w:rPr/>
      </w:pPr>
      <w:r>
        <w:rPr>
          <w:rFonts w:ascii="Times New Roman" w:hAnsi="Times New Roman"/>
          <w:color w:val="000000"/>
          <w:sz w:val="20"/>
          <w:u w:val="single"/>
        </w:rPr>
        <w:t>Clawback Policy</w:t>
      </w:r>
      <w:r>
        <w:rPr>
          <w:rFonts w:ascii="Times New Roman" w:hAnsi="Times New Roman"/>
          <w:color w:val="000000"/>
          <w:sz w:val="20"/>
        </w:rPr>
        <w:t>. The Employee acknowledges and agrees that any compensation or benefits received under this Agreement shall be subject to the Company’s clawback policy, as amended or modified from time to time, and compliance with any rules and regulations relating to recovery of erroneously awarded compensation, and that the Employee shall take all action necessary or appropriate to comply with such policy (including, without limitation, entering into any further agreements, amendments or policies necessary or appropriate to implement and/or enforce such policy).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w:t>
      </w:r>
    </w:p>
    <w:p>
      <w:pPr>
        <w:pStyle w:val="TextBody"/>
        <w:bidi w:val="0"/>
        <w:jc w:val="both"/>
        <w:rPr/>
      </w:pPr>
      <w:r>
        <w:rPr>
          <w:rFonts w:ascii="Times New Roman" w:hAnsi="Times New Roman"/>
          <w:color w:val="000000"/>
          <w:sz w:val="20"/>
          <w:u w:val="single"/>
        </w:rPr>
        <w:t>Certain Tax Matters</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0"/>
          <w:u w:val="single"/>
        </w:rPr>
        <w:t>Taxes</w:t>
      </w:r>
      <w:r>
        <w:rPr>
          <w:rFonts w:ascii="Times New Roman" w:hAnsi="Times New Roman"/>
          <w:color w:val="000000"/>
          <w:sz w:val="20"/>
        </w:rPr>
        <w:t>. Notwithstanding anything in this Agreement to the contrary, all payments and benefits required to be made or provided to the Employee under this Agreement will be subject to withholding of such amounts relating to taxes as the Company may reasonably determine that it should withhold pursuant to any applicable laws or regulations.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0"/>
          <w:u w:val="single"/>
        </w:rPr>
        <w:t>Excise Taxes</w:t>
      </w:r>
      <w:r>
        <w:rPr>
          <w:rFonts w:ascii="Times New Roman" w:hAnsi="Times New Roman"/>
          <w:color w:val="000000"/>
          <w:sz w:val="20"/>
        </w:rPr>
        <w:t xml:space="preserve">. Notwithstanding anything to the contrary in this Agreement, to the extent that the payment and benefits to be provided under this Agreement and any payments and benefits provided to the Employee or for the Employee’s benefit under any other Company plan or agreement (collectively, the “Employment Payments”) would be subject to the excise tax imposed under Section 4999 of the Code (the “Excise Tax”), the Employment Payments shall be reduced to the extent necessary so that no portion thereof shall be subject to the Excise Tax, but only if, by reason of such reduction, the net after-tax benefit (taking all income, employment and excise taxes into account) received by the Employee shall exceed the net after-tax benefit that would be received by the Employee if no such reduction was made. Any reduction pursuant to this Section 24(b) shall be applied consistent with the requirements of Section 409A of the Code.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0"/>
          <w:u w:val="single"/>
        </w:rPr>
        <w:t>Section 409A of the Code</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applicable, it is intended that this Agreement and any payments and benefits made or provided hereunder shall comply with the requirements of Section 409A of the Code or any exemption or exclusion therefrom, and any related regulations or other guidance promulgated with respect to such section by the Internal Revenue Service, and shall in all respects be administered in accordance with Section 409A of the Code. Any provision that would cause this Agreement or any payment or benefit hereunder to fail to satisfy Section 409A of the Code shall have no force or effect until amended to comply with Section 409A of the Code in the least restrictive manner necessary and without any diminution in the value of the payments to the Employee, which amendment may be retroactive to the extent permitted by Section 409A of the Code. Notwithstanding anything in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Agreement to the contrary, to the extent that any amount or benefit that would constitute “nonqualified deferred compensation” under Section 409A of the Code would otherwise be payable or distributable hereunder by reason of the Employee’s termination of employment, such amount or benefit will not be payable or distributable to the Employee by reason of such circumstance unless (i) the circumstances giving rise to such termination of employment meet any description or definition of “separation from service” in Section 409A of the Code or (ii) the payment or distribution of such amount or benefit would be exempt from the application of Section 409A of the Code by reason of the short-term deferral exemption or otherwise. If this provision prevents the payment or distribution of any amount or benefit, such payment or distribution shall be made on the date, if any, on which an event occurs that constitutes a compliant “separation from service” under Section 409A of the Code. For purposes of Section 409A of the Code, each individual payment payable under the Agreement shall be deemed to be a “separate payment” within the meaning of Section 409A of the Code.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0"/>
        </w:rPr>
      </w:pPr>
      <w:r>
        <w:rPr>
          <w:rFonts w:ascii="Times New Roman" w:hAnsi="Times New Roman"/>
          <w:color w:val="000000"/>
          <w:sz w:val="20"/>
        </w:rPr>
        <w:t>All reimbursements and in-kind benefits provided under this Agreement shall be made or provided in accordance with the requirements of Section 409A of the Code, including, without limitation and where applicable, that (A) any reimbursement is for expenses incurred during the period of time specified in this Agreement, (B) in no event shall reimbursements by the Company under this Agreement be made later than the last day of the Employee’s taxable year next following the taxable year in which the applicable fees and expenses were incurred, (C) the amount of expenses eligible for reimbursement, or in-kind benefits provided, during any taxable year of the Employee may not affect the expenses eligible for reimbursement, or in-kind benefits to be provided, in any other taxable year of the Employee; and (D) the Employee’s right to have the Company pay or provide such reimbursements and in-kind benefits may not be liquidated or exchanged for any other benefit.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0"/>
        </w:rPr>
      </w:pPr>
      <w:r>
        <w:rPr>
          <w:rFonts w:ascii="Times New Roman" w:hAnsi="Times New Roman"/>
          <w:color w:val="000000"/>
          <w:sz w:val="20"/>
        </w:rPr>
        <w:t>To the extent the Employee is a “specified employee,” as defined in Section 409A of the Code and any elections made by the Company in accordance therewith, notwithstanding the timing of payment provided in any other section of this Agreement, no payment, distribution or benefit under this Agreement that constitutes a distribution of nonqualified deferred compensation (within the meaning of Treasury Regulation Section 1.409A-1(b)) upon the Employee’s “separation from service” (within the meaning of Treasury Regulation Section 1.409A-1(h)), after taking into account all available exemptions, that would otherwise be payable during the six-month period after the Employee’s separation from service, will be made during such six-month period, and any such payment, distribution or benefit will instead be paid on the first business day after such six-month period (the “Delayed Payment Date”); provided, however, that if the Employee dies following a separation from service but before the Delayed Payment Date, such amounts shall be paid to the personal representative of the Employee’s estate within 30 days following the Employee’s death.</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(iv)</w:t>
      </w:r>
    </w:p>
    <w:p>
      <w:pPr>
        <w:pStyle w:val="TextBody"/>
        <w:bidi w:val="0"/>
        <w:jc w:val="both"/>
        <w:rPr>
          <w:rFonts w:ascii="Times New Roman" w:hAnsi="Times New Roman"/>
          <w:color w:val="000000"/>
          <w:sz w:val="20"/>
        </w:rPr>
      </w:pPr>
      <w:r>
        <w:rPr>
          <w:rFonts w:ascii="Times New Roman" w:hAnsi="Times New Roman"/>
          <w:color w:val="000000"/>
          <w:sz w:val="20"/>
        </w:rPr>
        <w:t>Nothing herein shall be construed as the guarantee of any particular tax treatment to the Employee, and none of the Company, the Board or any of the Affiliates shall have any liability with respect to any failure to comply with the requirements of Section 409A of the Code.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25.</w:t>
      </w:r>
    </w:p>
    <w:p>
      <w:pPr>
        <w:pStyle w:val="TextBody"/>
        <w:bidi w:val="0"/>
        <w:jc w:val="both"/>
        <w:rPr/>
      </w:pPr>
      <w:r>
        <w:rPr>
          <w:rFonts w:ascii="Times New Roman" w:hAnsi="Times New Roman"/>
          <w:color w:val="000000"/>
          <w:sz w:val="20"/>
          <w:u w:val="single"/>
        </w:rPr>
        <w:t>Opportunity to Review; No Presumption</w:t>
      </w:r>
      <w:r>
        <w:rPr>
          <w:rFonts w:ascii="Times New Roman" w:hAnsi="Times New Roman"/>
          <w:color w:val="000000"/>
          <w:sz w:val="20"/>
        </w:rPr>
        <w:t>. The Employee represents that the Employee has been provided with an opportunity to review the terms of this Agreement with legal counsel. The parties agree that this Agreement is the product of negotiations between parties represented by legal counsel and that the presumption of interpreting ambiguities against the drafter of this Agreement shall not apply.</w:t>
      </w:r>
    </w:p>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[Remainder of page intentionally left blank; signature page follows]</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have executed or caused this Agreement to be executed as of the day, month and year first above written.</w:t>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2056"/>
        <w:gridCol w:w="3736"/>
      </w:tblGrid>
      <w:tr>
        <w:trPr/>
        <w:tc>
          <w:tcPr>
            <w:tcW w:w="205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EMPLOYEE</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u w:val="single"/>
              </w:rPr>
              <w:t>/s/ Chey Becker - Varto</w:t>
            </w:r>
            <w:r>
              <w:rPr>
                <w:rFonts w:ascii="Times New Roman" w:hAnsi="Times New Roman"/>
                <w:color w:val="000000"/>
                <w:sz w:val="20"/>
              </w:rPr>
              <w:t xml:space="preserve">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Chey Becker - Varto</w:t>
            </w:r>
          </w:p>
        </w:tc>
        <w:tc>
          <w:tcPr>
            <w:tcW w:w="373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STRATTEC SECURITY CORPORATION</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Jennifer L. Slater</w:t>
            </w:r>
            <w:r>
              <w:rPr>
                <w:rFonts w:ascii="Times New Roman" w:hAnsi="Times New Roman"/>
                <w:color w:val="000000"/>
                <w:sz w:val="20"/>
              </w:rPr>
              <w:t xml:space="preserve"> </w:t>
            </w:r>
          </w:p>
          <w:p>
            <w:pPr>
              <w:pStyle w:val="TableContents"/>
              <w:bidi w:val="0"/>
              <w:jc w:val="both"/>
              <w:rPr>
                <w:rFonts w:ascii="Times New Roman" w:hAnsi="Times New Roman"/>
                <w:color w:val="000000"/>
                <w:sz w:val="20"/>
              </w:rPr>
            </w:pPr>
            <w:r>
              <w:rPr>
                <w:rFonts w:ascii="Times New Roman" w:hAnsi="Times New Roman"/>
                <w:color w:val="000000"/>
                <w:sz w:val="20"/>
              </w:rPr>
              <w:t>Name: Jennifer L. Slater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Its: President and Chief Executive Officer</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5" w:name="strt-ex19.htm"/>
      <w:bookmarkStart w:id="56" w:name="ksstrtex19"/>
      <w:bookmarkEnd w:id="55"/>
      <w:bookmarkEnd w:id="56"/>
      <w:r>
        <w:rPr>
          <w:rFonts w:ascii="Times New Roman" w:hAnsi="Times New Roman"/>
          <w:color w:val="000000"/>
          <w:sz w:val="20"/>
        </w:rPr>
        <w:t>Exhibit 19</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STRATTEC SECURITY CORPORATION</w:t>
      </w:r>
    </w:p>
    <w:p>
      <w:pPr>
        <w:pStyle w:val="TextBody"/>
        <w:bidi w:val="0"/>
        <w:jc w:val="center"/>
        <w:rPr>
          <w:rFonts w:ascii="Times New Roman" w:hAnsi="Times New Roman"/>
          <w:b/>
          <w:color w:val="000000"/>
          <w:sz w:val="20"/>
        </w:rPr>
      </w:pPr>
      <w:r>
        <w:rPr>
          <w:rFonts w:ascii="Times New Roman" w:hAnsi="Times New Roman"/>
          <w:b/>
          <w:color w:val="000000"/>
          <w:sz w:val="20"/>
        </w:rPr>
        <w:t>INSIDER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Board of Directors of Strattec Security Corporation (the "</w:t>
      </w:r>
      <w:r>
        <w:rPr>
          <w:rFonts w:ascii="Times New Roman" w:hAnsi="Times New Roman"/>
          <w:color w:val="000000"/>
          <w:sz w:val="20"/>
          <w:u w:val="single"/>
        </w:rPr>
        <w:t>Company</w:t>
      </w:r>
      <w:r>
        <w:rPr>
          <w:rFonts w:ascii="Times New Roman" w:hAnsi="Times New Roman"/>
          <w:color w:val="000000"/>
          <w:sz w:val="20"/>
        </w:rPr>
        <w:t>") has adopted this Insider Trading Policy (this "</w:t>
      </w:r>
      <w:r>
        <w:rPr>
          <w:rFonts w:ascii="Times New Roman" w:hAnsi="Times New Roman"/>
          <w:color w:val="000000"/>
          <w:sz w:val="20"/>
          <w:u w:val="single"/>
        </w:rPr>
        <w:t>Policy</w:t>
      </w:r>
      <w:r>
        <w:rPr>
          <w:rFonts w:ascii="Times New Roman" w:hAnsi="Times New Roman"/>
          <w:color w:val="000000"/>
          <w:sz w:val="20"/>
        </w:rPr>
        <w:t>") applicable to all of the Company's and its subsidiaries' employees, officers, directors and consultants with respect to transactions in the Company's securities, as well as the securities of publicly traded companies with whom the Company has a business relationship, including customers and suppliers.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Policy is designed to prevent insider trading or allegations of insider trading, and to protect the Company's reputation for integrity and ethical conduct. It is your obligation to understand and comply with this Policy. Should you have any questions about this Policy, please contact the Company's Chief Financial Officer or General Counsel.</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Applicability of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This Policy applies to all transactions in the Company's securities, including common stock, options for common stock and any other securities the Company may issue from time to time, such as preferred stock, notes, bonds, warrants and convertible debentures, as well as to derivative securities relating to the Company's securities, whether or not issued by the Company, such as exchange</w:t>
        <w:noBreakHyphen/>
        <w:t>traded options. This policy applies to all officers, directors, employees and consultants of the Company and its subsidiaries, who receive or have access to Material Nonpublic Information (as defined on page 4) regarding the Company. This group of people, members of their immediate families, and any person (other than a tenant or employee) sharing the same household of such officer, director or employee are sometimes referred to in this policy as "</w:t>
      </w:r>
      <w:r>
        <w:rPr>
          <w:rFonts w:ascii="Times New Roman" w:hAnsi="Times New Roman"/>
          <w:color w:val="000000"/>
          <w:sz w:val="20"/>
          <w:u w:val="single"/>
        </w:rPr>
        <w:t>Insiders</w:t>
      </w:r>
      <w:r>
        <w:rPr>
          <w:rFonts w:ascii="Times New Roman" w:hAnsi="Times New Roman"/>
          <w:color w:val="000000"/>
          <w:sz w:val="20"/>
        </w:rPr>
        <w:t>." This policy also applies to any person who receives Material Nonpublic Information from any Insider.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person who possesses Material Nonpublic Information regarding the Company is an Insider for so long as the information is not publicly known.</w:t>
      </w:r>
    </w:p>
    <w:p>
      <w:pPr>
        <w:pStyle w:val="Heading1"/>
        <w:bidi w:val="0"/>
        <w:spacing w:before="240" w:after="60"/>
        <w:jc w:val="center"/>
        <w:rPr>
          <w:rFonts w:ascii="Times New Roman" w:hAnsi="Times New Roman"/>
          <w:color w:val="000000"/>
          <w:sz w:val="20"/>
          <w:u w:val="single"/>
        </w:rPr>
      </w:pPr>
      <w:r>
        <w:rPr>
          <w:rFonts w:ascii="Times New Roman" w:hAnsi="Times New Roman"/>
          <w:color w:val="000000"/>
          <w:sz w:val="20"/>
          <w:u w:val="single"/>
        </w:rPr>
        <w:t>Statement of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Trading on Material Nonpublic Information</w:t>
      </w:r>
      <w:r>
        <w:rPr>
          <w:rFonts w:ascii="Times New Roman" w:hAnsi="Times New Roman"/>
          <w:color w:val="000000"/>
          <w:sz w:val="20"/>
        </w:rPr>
        <w:t xml:space="preserve">. No Insider shall engage in any transaction involving a purchase or sale of the Company's securities, whether or not issued by the Company, including any offer to purchase or offer to sell, during any period in which he or she possesses Material Nonpublic Information concerning the Company. Moreover, no Insider may purchase or sell any security of any other company, whether or not issued by the Company, while in possession of Material Nonpublic Information about that company that was obtained in the course of his or her involvement with the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Short Sales</w:t>
      </w:r>
      <w:r>
        <w:rPr>
          <w:rFonts w:ascii="Times New Roman" w:hAnsi="Times New Roman"/>
          <w:color w:val="000000"/>
          <w:sz w:val="20"/>
        </w:rPr>
        <w:t>. No Insider shall engage in a short sale of the Company's securities. A "short sale" is a sale of securities not owned by the seller or, if owned, not delivered against such sale within 20 days thereafter. Transactions in certain put and call options for the Company's securities may in some instances constitute a short sale.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Tipping</w:t>
      </w:r>
      <w:r>
        <w:rPr>
          <w:rFonts w:ascii="Times New Roman" w:hAnsi="Times New Roman"/>
          <w:color w:val="000000"/>
          <w:sz w:val="20"/>
        </w:rPr>
        <w:t>. No Insider who knows of Material Nonpublic Information about the Company shall disclose ("</w:t>
      </w:r>
      <w:r>
        <w:rPr>
          <w:rFonts w:ascii="Times New Roman" w:hAnsi="Times New Roman"/>
          <w:color w:val="000000"/>
          <w:sz w:val="20"/>
          <w:u w:val="single"/>
        </w:rPr>
        <w:t>tip</w:t>
      </w:r>
      <w:r>
        <w:rPr>
          <w:rFonts w:ascii="Times New Roman" w:hAnsi="Times New Roman"/>
          <w:color w:val="000000"/>
          <w:sz w:val="20"/>
        </w:rPr>
        <w:t>") Material Nonpublic Information to any other person (including family members or friends) concerning the Company or its subsidiaries without the Company's authorization, nor shall such Insider or related person make recommendations or express opinions as to trading in the Company's securities on the basis of Material Nonpublic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Margin Accounts and Pledged Securities.</w:t>
      </w:r>
      <w:r>
        <w:rPr>
          <w:rFonts w:ascii="Times New Roman" w:hAnsi="Times New Roman"/>
          <w:color w:val="000000"/>
          <w:sz w:val="20"/>
        </w:rPr>
        <w:t xml:space="preserve"> Securities held in a margin account may be sold without your consent by a broker if you fail to meet a margin call. Similarly, securities pledged (or hypothecated) as collateral for a loan may be sold in foreclosure if the borrower defaults on the loan. Because a margin sale or a foreclosure sale may occur at any time when an Insider is aware of Material Nonpublic Information or otherwise is not permitted to trade in the Company's securities, all Insiders are prohibited from holding the Company's securities in a margin account or otherwise pledging Company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as collateral for a loan. (Pledges of Company securities arising from certain types of hedging transactions are governed by the paragraph below captioned “Hedging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Hedging Transactions</w:t>
      </w:r>
      <w:r>
        <w:rPr>
          <w:rFonts w:ascii="Times New Roman" w:hAnsi="Times New Roman"/>
          <w:color w:val="000000"/>
          <w:sz w:val="20"/>
        </w:rPr>
        <w:t xml:space="preserve">. Certain forms of hedging or monetization transactions, such as zero-cost collars and forward sale contracts,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shareholders. Therefore, these types of transactions are prohibited by this Policy.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No Exception for Hardship</w:t>
      </w:r>
      <w:r>
        <w:rPr>
          <w:rFonts w:ascii="Times New Roman" w:hAnsi="Times New Roman"/>
          <w:color w:val="000000"/>
          <w:sz w:val="20"/>
        </w:rPr>
        <w:t>. The existence of a personal financial emergency does not excuse any Insider from compliance with this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Confidentiality of Nonpublic Information</w:t>
      </w:r>
      <w:r>
        <w:rPr>
          <w:rFonts w:ascii="Times New Roman" w:hAnsi="Times New Roman"/>
          <w:color w:val="000000"/>
          <w:sz w:val="20"/>
        </w:rPr>
        <w:t>. Material Nonpublic Information relating to the Company is the property of the Company and the unauthorized disclosure of such information is forbidden. In the event any officer, director, employee or consultant of the Company receives any inquiry from outside the Company, such as a stock analyst, for information (particularly financial results and/or projections), the inquiry should be referred to the Company's Chief Financial Officer or General Counsel, who is responsible for coordinating and overseeing the release of such information to the investing public, analysts and others in compliance with applicable laws and regulations.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Blackout and Pre-Clearance Procedures</w:t>
      </w:r>
      <w:r>
        <w:rPr>
          <w:rFonts w:ascii="Times New Roman" w:hAnsi="Times New Roman"/>
          <w:color w:val="000000"/>
          <w:sz w:val="20"/>
        </w:rPr>
        <w:t>. To help prevent inadvertent violations of the federal securities laws and to avoid even the appearance of trading on the basis of inside information, the Company's Board of Directors has adopted an Addendum to this Policy that applies to Company directors, executive officers subject to Section 16 of the Securities Exchange Act of 1934 ("</w:t>
      </w:r>
      <w:r>
        <w:rPr>
          <w:rFonts w:ascii="Times New Roman" w:hAnsi="Times New Roman"/>
          <w:color w:val="000000"/>
          <w:sz w:val="20"/>
          <w:u w:val="single"/>
        </w:rPr>
        <w:t>executive officers</w:t>
      </w:r>
      <w:r>
        <w:rPr>
          <w:rFonts w:ascii="Times New Roman" w:hAnsi="Times New Roman"/>
          <w:color w:val="000000"/>
          <w:sz w:val="20"/>
        </w:rPr>
        <w:t>"), and certain designated employees and consultants of the Company and its subsidiaries who have access to Material Nonpublic Information about the Company. The Company will notify you if you are subject to the Addendum.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Addendum generally prohibits persons covered by it from trading in the Company's securities during quarterly blackout periods (beginning at the close of market on the fifteenth day of the third month of each fiscal quarter and ending at the beginning of the third trading day following the release of the Company's earnings for that quarter) and during certain event-specific blackouts. Persons covered by the Addendum also must pre-clear all transactions in the Company's securities with the Chief Financial Officer or General Counsel.</w:t>
      </w:r>
    </w:p>
    <w:p>
      <w:pPr>
        <w:pStyle w:val="Heading1"/>
        <w:bidi w:val="0"/>
        <w:spacing w:before="240" w:after="60"/>
        <w:jc w:val="center"/>
        <w:rPr>
          <w:rFonts w:ascii="Times New Roman" w:hAnsi="Times New Roman"/>
          <w:color w:val="000000"/>
          <w:sz w:val="20"/>
          <w:u w:val="single"/>
        </w:rPr>
      </w:pPr>
      <w:r>
        <w:rPr>
          <w:rFonts w:ascii="Times New Roman" w:hAnsi="Times New Roman"/>
          <w:color w:val="000000"/>
          <w:sz w:val="20"/>
          <w:u w:val="single"/>
        </w:rPr>
        <w:t>Potential Criminal and Civil Liability and/or Disciplinary 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Liability for Insider Trading</w:t>
      </w:r>
      <w:r>
        <w:rPr>
          <w:rFonts w:ascii="Times New Roman" w:hAnsi="Times New Roman"/>
          <w:color w:val="000000"/>
          <w:sz w:val="20"/>
        </w:rPr>
        <w:t>. Pursuant to federal and state securities laws, potential 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A person who violates insider trading laws by engaging in transactions in the Company's securities when he or she has Material Nonpublic Information can be sentenced to a substantial jail term and required to pay a criminal penalty of several times the amount of profits gained or losses avoided. The U.S. Securities and Exchange Commission ("</w:t>
      </w:r>
      <w:r>
        <w:rPr>
          <w:rFonts w:ascii="Times New Roman" w:hAnsi="Times New Roman"/>
          <w:color w:val="000000"/>
          <w:sz w:val="20"/>
          <w:u w:val="single"/>
        </w:rPr>
        <w:t>SEC</w:t>
      </w:r>
      <w:r>
        <w:rPr>
          <w:rFonts w:ascii="Times New Roman" w:hAnsi="Times New Roman"/>
          <w:color w:val="000000"/>
          <w:sz w:val="20"/>
        </w:rPr>
        <w:t>")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Liability for Tipping</w:t>
      </w:r>
      <w:r>
        <w:rPr>
          <w:rFonts w:ascii="Times New Roman" w:hAnsi="Times New Roman"/>
          <w:color w:val="000000"/>
          <w:sz w:val="20"/>
        </w:rPr>
        <w:t>. Insiders may also be liable for improper transactions by any person (commonly referred to as a "</w:t>
      </w:r>
      <w:r>
        <w:rPr>
          <w:rFonts w:ascii="Times New Roman" w:hAnsi="Times New Roman"/>
          <w:color w:val="000000"/>
          <w:sz w:val="20"/>
          <w:u w:val="single"/>
        </w:rPr>
        <w:t>tippee</w:t>
      </w:r>
      <w:r>
        <w:rPr>
          <w:rFonts w:ascii="Times New Roman" w:hAnsi="Times New Roman"/>
          <w:color w:val="000000"/>
          <w:sz w:val="20"/>
        </w:rPr>
        <w:t xml:space="preserve">") to whom they have disclosed Material Nonpublic Information regarding the Company or to whom they have made recommendations or expressed opinions as to trading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Company's securities on the basis of such information. Tippers can be subject to the same penalties and sanctions as the tippees, and the SEC has imposed large penalties even when the disclosing person did not profit from the trading. The SEC, the stock exchanges and the Financial Industry Regulatory Authority use sophisticated electronic surveillance techniques to uncover insider trading.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Possible Disciplinary Actions</w:t>
      </w:r>
      <w:r>
        <w:rPr>
          <w:rFonts w:ascii="Times New Roman" w:hAnsi="Times New Roman"/>
          <w:color w:val="000000"/>
          <w:sz w:val="20"/>
        </w:rPr>
        <w:t>. The Company may also impose sanctions for failure to comply with this Policy, including dismissal for cause, whether or not your failure to comply with this Policy results in a violation of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Individual Responsibility</w:t>
      </w:r>
      <w:r>
        <w:rPr>
          <w:rFonts w:ascii="Times New Roman" w:hAnsi="Times New Roman"/>
          <w:color w:val="000000"/>
          <w:sz w:val="20"/>
        </w:rPr>
        <w:t>. Every officer, director, employee and consultant has the individual responsibility to comply with this Policy against insider trading.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pStyle w:val="Heading1"/>
        <w:bidi w:val="0"/>
        <w:spacing w:before="240" w:after="60"/>
        <w:jc w:val="center"/>
        <w:rPr>
          <w:rFonts w:ascii="Times New Roman" w:hAnsi="Times New Roman"/>
          <w:color w:val="000000"/>
          <w:sz w:val="20"/>
          <w:u w:val="single"/>
        </w:rPr>
      </w:pPr>
      <w:r>
        <w:rPr>
          <w:rFonts w:ascii="Times New Roman" w:hAnsi="Times New Roman"/>
          <w:color w:val="000000"/>
          <w:sz w:val="20"/>
          <w:u w:val="single"/>
        </w:rPr>
        <w:t>Applicability of Policy to Inside Information Regarding Other Companies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This Policy and the guidelines described herein also apply to material nonpublic information relating to other companies, including the Company's customers, distributors, vendors or suppliers ("</w:t>
      </w:r>
      <w:r>
        <w:rPr>
          <w:rFonts w:ascii="Times New Roman" w:hAnsi="Times New Roman"/>
          <w:color w:val="000000"/>
          <w:sz w:val="20"/>
          <w:u w:val="single"/>
        </w:rPr>
        <w:t>Business Partners</w:t>
      </w:r>
      <w:r>
        <w:rPr>
          <w:rFonts w:ascii="Times New Roman" w:hAnsi="Times New Roman"/>
          <w:color w:val="000000"/>
          <w:sz w:val="20"/>
        </w:rPr>
        <w:t>"), when that information is obtained in the course of employment with, or during the rendering of services by or on behalf of, the Company. Civil and criminal penalties, and termination of employment, may result from trading on or entering into any transaction related to inside information regarding the Company's Business Partners. All officers, directors, employees and consultants should treat material nonpublic information about the Company's Business Partners with the same care required with respect to information related directly to the Company.</w:t>
      </w:r>
    </w:p>
    <w:p>
      <w:pPr>
        <w:pStyle w:val="Heading1"/>
        <w:bidi w:val="0"/>
        <w:spacing w:before="240" w:after="60"/>
        <w:jc w:val="center"/>
        <w:rPr>
          <w:rFonts w:ascii="Times New Roman" w:hAnsi="Times New Roman"/>
          <w:color w:val="000000"/>
          <w:sz w:val="20"/>
          <w:u w:val="single"/>
        </w:rPr>
      </w:pPr>
      <w:r>
        <w:rPr>
          <w:rFonts w:ascii="Times New Roman" w:hAnsi="Times New Roman"/>
          <w:color w:val="000000"/>
          <w:sz w:val="20"/>
          <w:u w:val="single"/>
        </w:rPr>
        <w:t>Definition of Material Nonpublic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Information should be regarded as (1) material if it has market significance, that is, if its public dissemination is likely to affect the market price of securities, or if there is a reasonable likelihood that it would be considered important to an investor in making an investment decision regarding the purchase or sale of the Company's securities, and (2) nonpublic if the information has not been previously disclosed to the general public and is otherwise not available to the general public such as in a press release or an SEC filing (such information is referred to as "</w:t>
      </w:r>
      <w:r>
        <w:rPr>
          <w:rFonts w:ascii="Times New Roman" w:hAnsi="Times New Roman"/>
          <w:color w:val="000000"/>
          <w:sz w:val="20"/>
          <w:u w:val="single"/>
        </w:rPr>
        <w:t>Material Nonpublic Information</w:t>
      </w:r>
      <w:r>
        <w:rPr>
          <w:rFonts w:ascii="Times New Roman" w:hAnsi="Times New Roman"/>
          <w:color w:val="000000"/>
          <w:sz w:val="20"/>
        </w:rPr>
        <w:t>").</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it may be difficult under this standard to determine whether particular information is material, there are various categories of information that are particularly sensitive and, as a general rule, should always be considered material, whether positive or negative in nature. Examples of such information may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financial guidance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Known but unannounced future earnings or losses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Execution or termination of significant contracts with customers, distributors, suppliers, joint venture partners and other business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News of a pending or proposed merger or other acquisition or joint venture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News of the disposition, construction or acquisition of significant assets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Impending bankruptcy or financial liquidity problems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or other intellectual property milestones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Scientific achievements or other developments from research efforts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developments involving corporate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dividend policy or a stock repurchase program</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New product announcements of a significant nature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product defects, product recalls, warranty issues or product modifications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 splits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equity or debt offerings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Positive or negative developments in outstanding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litigation exposure due to actual or threatened litigation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Major changes in senior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open of business on the third trading day after the information was publicly disclosed before you can treat the information as public.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Non-public information may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available to a select group of analysts or brokers or institutional investors;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undisclosed facts that are the subject of rumors, even if the rumors are widely circulated;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information that has been entrusted to the Company on a confidential basis until a public announcement of the information has been made and enough time has elapsed for the market to respond to a public announcement of the information (normally </w:t>
      </w:r>
      <w:r>
        <w:rPr>
          <w:rFonts w:ascii="Times New Roman" w:hAnsi="Times New Roman"/>
          <w:b/>
          <w:color w:val="000000"/>
          <w:sz w:val="20"/>
        </w:rPr>
        <w:t>two</w:t>
      </w:r>
      <w:r>
        <w:rPr>
          <w:color w:val="000000"/>
        </w:rPr>
        <w:t xml:space="preserve"> </w:t>
      </w:r>
      <w:r>
        <w:rPr>
          <w:rFonts w:ascii="Times New Roman" w:hAnsi="Times New Roman"/>
          <w:color w:val="000000"/>
          <w:sz w:val="20"/>
        </w:rPr>
        <w:t>trading days).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If you are not sure whether information is considered material and/or public, you should either consult with the Company's Chief Financial Officer or General Counsel or assume that the information is material and non-public and treat it as confidential.</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Post-Termination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Policy continues to apply to transactions by an Insider in the Company's securities even after the Insider's employment or services to the Company have terminated until any Material Nonpublic Information concerning the Company that the Insider possesses as of the date of termination has become public. Post-Insider transactions are not subject to the Addendum to this Policy.</w:t>
      </w:r>
    </w:p>
    <w:p>
      <w:pPr>
        <w:pStyle w:val="Heading1"/>
        <w:bidi w:val="0"/>
        <w:spacing w:before="240" w:after="60"/>
        <w:jc w:val="center"/>
        <w:rPr>
          <w:rFonts w:ascii="Times New Roman" w:hAnsi="Times New Roman"/>
          <w:color w:val="000000"/>
          <w:sz w:val="20"/>
          <w:u w:val="single"/>
        </w:rPr>
      </w:pPr>
      <w:r>
        <w:rPr>
          <w:rFonts w:ascii="Times New Roman" w:hAnsi="Times New Roman"/>
          <w:color w:val="000000"/>
          <w:sz w:val="20"/>
          <w:u w:val="single"/>
        </w:rPr>
        <w:t>Certain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purposes of this policy, the Company considers that the exercise of stock options for cash under the Company's stock incentive plan, the exercise of stock appreciation rights under the Company's stock incentive plan, and the grant of restricted stock or restricted stock units under the Company's stock incentive plan (but </w:t>
      </w:r>
      <w:r>
        <w:rPr>
          <w:rFonts w:ascii="Times New Roman" w:hAnsi="Times New Roman"/>
          <w:color w:val="000000"/>
          <w:sz w:val="20"/>
          <w:u w:val="single"/>
        </w:rPr>
        <w:t>not</w:t>
      </w:r>
      <w:r>
        <w:rPr>
          <w:rFonts w:ascii="Times New Roman" w:hAnsi="Times New Roman"/>
          <w:color w:val="000000"/>
          <w:sz w:val="20"/>
        </w:rPr>
        <w:t xml:space="preserve"> the sale of any shares issued upon such exercise or purchase) is exempt from this Policy, since the other party to the transaction is the Company itself and the price does not vary with the market but is fixed by the terms of the grant agreement or the plan. In addition, for purposes of this Policy, the Company considers that bona fide gifts of the securities of the Company are exempt from this Policy.</w:t>
      </w:r>
    </w:p>
    <w:p>
      <w:pPr>
        <w:pStyle w:val="TextBody"/>
        <w:bidi w:val="0"/>
        <w:jc w:val="left"/>
        <w:rPr/>
      </w:pPr>
      <w:r>
        <w:rPr/>
        <w:t> </w:t>
      </w:r>
    </w:p>
    <w:p>
      <w:pPr>
        <w:pStyle w:val="Heading1"/>
        <w:bidi w:val="0"/>
        <w:jc w:val="center"/>
        <w:rPr>
          <w:rFonts w:ascii="Times New Roman" w:hAnsi="Times New Roman"/>
          <w:color w:val="000000"/>
          <w:sz w:val="20"/>
          <w:u w:val="single"/>
        </w:rPr>
      </w:pPr>
      <w:r>
        <w:rPr>
          <w:rFonts w:ascii="Times New Roman" w:hAnsi="Times New Roman"/>
          <w:color w:val="000000"/>
          <w:sz w:val="20"/>
          <w:u w:val="single"/>
        </w:rPr>
        <w:t>Inquiries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compliance with this Policy is extremely important to you and the Company. If you have any questions about this Policy or its application to a proposed transaction, please direct your questions to the Company's Chief Financial Officer or General Counsel. Do not try to resolve uncertainties on your own, as the rules relating to insider trading are complex and there can be severe consequences for any violation of the rules.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Insider Trading Policy is dated July 1, 2026, and supersedes any previous policy of the Company concerning insider trading.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Heading1"/>
        <w:bidi w:val="0"/>
        <w:jc w:val="center"/>
        <w:rPr>
          <w:rFonts w:ascii="Times New Roman" w:hAnsi="Times New Roman"/>
          <w:color w:val="000000"/>
          <w:sz w:val="20"/>
          <w:u w:val="single"/>
        </w:rPr>
      </w:pPr>
      <w:r>
        <w:rPr>
          <w:rFonts w:ascii="Times New Roman" w:hAnsi="Times New Roman"/>
          <w:color w:val="000000"/>
          <w:sz w:val="20"/>
          <w:u w:val="single"/>
        </w:rPr>
        <w:t>Certifications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Insiders will be required to certify their understanding of and intent to comply with this Policy in the form attached to this Policy. Such certifications may be required from certain persons on an annual basis. </w:t>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ACKNOWLEDGMENT AND CERTIFICATION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undersigned does hereby acknowledge receipt of the Company's Insider Trading Policy. The undersigned has read and understands (or has had explained) such Policy and agrees to be governed by such Policy at all times in connection with the purchase and sale of securities of the Company and the confidentiality of Material Nonpublic Information.</w:t>
      </w:r>
    </w:p>
    <w:tbl>
      <w:tblPr>
        <w:tblW w:w="6422" w:type="dxa"/>
        <w:jc w:val="left"/>
        <w:tblInd w:w="0" w:type="dxa"/>
        <w:tblLayout w:type="fixed"/>
        <w:tblCellMar>
          <w:top w:w="28" w:type="dxa"/>
          <w:left w:w="28" w:type="dxa"/>
          <w:bottom w:w="28" w:type="dxa"/>
          <w:right w:w="28" w:type="dxa"/>
        </w:tblCellMar>
      </w:tblPr>
      <w:tblGrid>
        <w:gridCol w:w="3121"/>
        <w:gridCol w:w="3301"/>
      </w:tblGrid>
      <w:tr>
        <w:trPr/>
        <w:tc>
          <w:tcPr>
            <w:tcW w:w="312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________________________</w:t>
            </w:r>
          </w:p>
        </w:tc>
        <w:tc>
          <w:tcPr>
            <w:tcW w:w="33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______________________________</w:t>
            </w:r>
          </w:p>
          <w:p>
            <w:pPr>
              <w:pStyle w:val="TableContents"/>
              <w:bidi w:val="0"/>
              <w:jc w:val="left"/>
              <w:rPr>
                <w:rFonts w:ascii="Times New Roman" w:hAnsi="Times New Roman"/>
                <w:color w:val="000000"/>
                <w:sz w:val="20"/>
              </w:rPr>
            </w:pPr>
            <w:r>
              <w:rPr>
                <w:rFonts w:ascii="Times New Roman" w:hAnsi="Times New Roman"/>
                <w:color w:val="000000"/>
                <w:sz w:val="20"/>
              </w:rPr>
              <w:t>(Signature)</w:t>
            </w:r>
          </w:p>
          <w:p>
            <w:pPr>
              <w:pStyle w:val="TableContents"/>
              <w:bidi w:val="0"/>
              <w:spacing w:before="0" w:after="283"/>
              <w:ind w:left="0" w:right="0" w:firstLine="840"/>
              <w:jc w:val="left"/>
              <w:rPr/>
            </w:pPr>
            <w:r>
              <w:rPr/>
              <w:t> </w:t>
            </w:r>
          </w:p>
        </w:tc>
      </w:tr>
      <w:tr>
        <w:trPr/>
        <w:tc>
          <w:tcPr>
            <w:tcW w:w="312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33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______________________________</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(Please print name)</w:t>
            </w:r>
          </w:p>
        </w:tc>
      </w:tr>
      <w:tr>
        <w:trPr/>
        <w:tc>
          <w:tcPr>
            <w:tcW w:w="312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ind w:left="0" w:right="0" w:firstLine="840"/>
              <w:jc w:val="left"/>
              <w:rPr/>
            </w:pPr>
            <w:r>
              <w:rPr/>
              <w:t> </w:t>
            </w:r>
          </w:p>
        </w:tc>
      </w:tr>
    </w:tbl>
    <w:p>
      <w:pPr>
        <w:pStyle w:val="TextBody"/>
        <w:bidi w:val="0"/>
        <w:spacing w:before="24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STRATTEC SECURITY CORPORATION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ADDENDUM TO INSIDER TRADING POLICY –</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PRE-CLEARANCE AND BLACKOUT PROCEDURES</w:t>
      </w:r>
    </w:p>
    <w:p>
      <w:pPr>
        <w:pStyle w:val="TextBody"/>
        <w:bidi w:val="0"/>
        <w:jc w:val="left"/>
        <w:rPr/>
      </w:pPr>
      <w:r>
        <w:rPr/>
        <w:t> </w:t>
      </w:r>
    </w:p>
    <w:p>
      <w:pPr>
        <w:pStyle w:val="TextBody"/>
        <w:bidi w:val="0"/>
        <w:jc w:val="left"/>
        <w:rPr>
          <w:rFonts w:ascii="Times New Roman" w:hAnsi="Times New Roman"/>
          <w:sz w:val="20"/>
        </w:rPr>
      </w:pPr>
      <w:bookmarkStart w:id="57" w:name="savemyplace"/>
      <w:bookmarkEnd w:id="57"/>
      <w:r>
        <w:rPr>
          <w:rFonts w:ascii="Times New Roman" w:hAnsi="Times New Roman"/>
          <w:color w:val="000000"/>
          <w:sz w:val="20"/>
        </w:rPr>
        <w:t>This is an Addendum to the Insider Trading Policy of Strattec Security Corporation (the "</w:t>
      </w:r>
      <w:r>
        <w:rPr>
          <w:rFonts w:ascii="Times New Roman" w:hAnsi="Times New Roman"/>
          <w:color w:val="000000"/>
          <w:sz w:val="20"/>
          <w:u w:val="single"/>
        </w:rPr>
        <w:t>Company</w:t>
      </w:r>
      <w:r>
        <w:rPr>
          <w:rFonts w:ascii="Times New Roman" w:hAnsi="Times New Roman"/>
          <w:color w:val="000000"/>
          <w:sz w:val="20"/>
        </w:rPr>
        <w:t>"). You should carefully review the Insider Trading Policy along with this Addendum for important terms and definitions that relate to this Addendum, including the definition of Material Nonpublic Information. This Addendum is in addition to and supplements the Insider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help prevent inadvertent violations of the federal securities laws and to avoid even the appearance of trading on inside information, the Company's Board of Directors has adopted this Addendum. This Addendum applies to directors, executive officers subject to Section 16 of the Securities Exchange Act of 1934 ("</w:t>
      </w:r>
      <w:r>
        <w:rPr>
          <w:rFonts w:ascii="Times New Roman" w:hAnsi="Times New Roman"/>
          <w:color w:val="000000"/>
          <w:sz w:val="20"/>
          <w:u w:val="single"/>
        </w:rPr>
        <w:t>executive officers</w:t>
      </w:r>
      <w:r>
        <w:rPr>
          <w:rFonts w:ascii="Times New Roman" w:hAnsi="Times New Roman"/>
          <w:color w:val="000000"/>
          <w:sz w:val="20"/>
        </w:rPr>
        <w:t>") and certain designated employees of the Company or its subsidiaries ("</w:t>
      </w:r>
      <w:r>
        <w:rPr>
          <w:rFonts w:ascii="Times New Roman" w:hAnsi="Times New Roman"/>
          <w:color w:val="000000"/>
          <w:sz w:val="20"/>
          <w:u w:val="single"/>
        </w:rPr>
        <w:t>Covered Persons</w:t>
      </w:r>
      <w:r>
        <w:rPr>
          <w:rFonts w:ascii="Times New Roman" w:hAnsi="Times New Roman"/>
          <w:color w:val="000000"/>
          <w:sz w:val="20"/>
        </w:rPr>
        <w:t xml:space="preserve">"). The names of the Covered Persons subject to this addendum are listed on </w:t>
      </w:r>
      <w:r>
        <w:rPr>
          <w:rFonts w:ascii="Times New Roman" w:hAnsi="Times New Roman"/>
          <w:color w:val="000000"/>
          <w:sz w:val="20"/>
          <w:u w:val="single"/>
        </w:rPr>
        <w:t>Schedule 1, as updated from time to time by the Company</w:t>
      </w:r>
      <w:r>
        <w:rPr>
          <w:rFonts w:ascii="Times New Roman" w:hAnsi="Times New Roman"/>
          <w:color w:val="000000"/>
          <w:sz w:val="20"/>
        </w:rPr>
        <w:t xml:space="preserve">. The Company may amend </w:t>
      </w:r>
      <w:r>
        <w:rPr>
          <w:rFonts w:ascii="Times New Roman" w:hAnsi="Times New Roman"/>
          <w:color w:val="000000"/>
          <w:sz w:val="20"/>
          <w:u w:val="single"/>
        </w:rPr>
        <w:t>Schedule 1</w:t>
      </w:r>
      <w:r>
        <w:rPr>
          <w:rFonts w:ascii="Times New Roman" w:hAnsi="Times New Roman"/>
          <w:color w:val="000000"/>
          <w:sz w:val="20"/>
        </w:rPr>
        <w:t xml:space="preserve"> from time to time as necessary to reflect any changes it deems appropriate, such as the appointment, resignation or change in status of any individual.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Addendum also includes additional procedures designed to address the two-business day Form 4 filing requirement under Section 16.</w:t>
      </w:r>
    </w:p>
    <w:p>
      <w:pPr>
        <w:pStyle w:val="TextBody"/>
        <w:bidi w:val="0"/>
        <w:jc w:val="left"/>
        <w:rPr/>
      </w:pPr>
      <w:r>
        <w:rPr/>
        <w:t> </w:t>
      </w:r>
    </w:p>
    <w:p>
      <w:pPr>
        <w:pStyle w:val="Heading1"/>
        <w:bidi w:val="0"/>
        <w:jc w:val="center"/>
        <w:rPr>
          <w:rFonts w:ascii="Times New Roman" w:hAnsi="Times New Roman"/>
          <w:color w:val="000000"/>
          <w:sz w:val="20"/>
          <w:u w:val="single"/>
        </w:rPr>
      </w:pPr>
      <w:r>
        <w:rPr>
          <w:rFonts w:ascii="Times New Roman" w:hAnsi="Times New Roman"/>
          <w:color w:val="000000"/>
          <w:sz w:val="20"/>
          <w:u w:val="single"/>
        </w:rPr>
        <w:t>Blackout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Quarterly Blackout Periods for Covered Persons</w:t>
      </w:r>
      <w:r>
        <w:rPr>
          <w:rFonts w:ascii="Times New Roman" w:hAnsi="Times New Roman"/>
          <w:color w:val="000000"/>
          <w:sz w:val="20"/>
        </w:rPr>
        <w:t>. The period beginning at the close of market on the fifteenth day of the third month of each fiscal quarter and ending at the beginning of the third trading day following the date of public disclosure of the financial results for that quarter is a particularly sensitive period of time for transactions in the Company's stock from the perspective of compliance with applicable securities laws. This sensitivity is due to the fact that the Covered Persons will, during that period, often possess Material Nonpublic Information about the expected financial results for the quarter during that period. Accordingly, this period of time is referred to as a "Quarterly Blackout Period." All Covered Persons are prohibited from trading or engaging in any transaction that involves the purchase or sale of the Company's securities during the Quarterly Blackout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Event-Specific Blackout Periods</w:t>
      </w:r>
      <w:r>
        <w:rPr>
          <w:rFonts w:ascii="Times New Roman" w:hAnsi="Times New Roman"/>
          <w:color w:val="000000"/>
          <w:sz w:val="20"/>
        </w:rPr>
        <w:t>. In addition to the Quarterly Blackout Periods, from time to time, Material Nonpublic Information regarding the Company may be pending. While such information is pending, the Company may impose a special Event-Specific Blackout Period during which the same prohibitions on trading in the Company's securities shall apply. The Company will notify those persons who are subject to any Event-Specific Blackout Period. All officers, directors, employees, consultants and contractors of the Company and its subsidiaries are urged to remember that even if they are not subject to a Quarterly or Event-Specific Blackout Period, they are still prohibited from the unauthorized disclosure of any Material Nonpublic Information and the misuse of Material Nonpublic Information in securities trading</w:t>
      </w:r>
      <w:r>
        <w:rPr>
          <w:rFonts w:ascii="Times New Roman" w:hAnsi="Times New Roman"/>
          <w:b/>
          <w:color w:val="000000"/>
          <w:sz w:val="20"/>
        </w:rPr>
        <w:t>.</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Exception for Approved 10b5-1 Plans</w:t>
      </w:r>
      <w:r>
        <w:rPr>
          <w:rFonts w:ascii="Times New Roman" w:hAnsi="Times New Roman"/>
          <w:color w:val="000000"/>
          <w:sz w:val="20"/>
        </w:rPr>
        <w:t>. Rule 10b5-1 under the Securities Exchange Act of 1934 provides an affirmative defense from insider trading liability under the federal securities laws for trading plans (referred to as 10b5-1 plans) that meet certain requirements. In general, a 10b5-1 plan must be entered into outside of a Blackout Period and at a time in which you do not have Material Nonpublic Information about the Company. In order to have a valid 10b5-1 plan, you must: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enter into a binding contract to purchase or sell the security;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 instruct another person to purchase or sell the security for your account;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adopt a written plan for trading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the contract, plan or instructions must: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19</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specify the amount of securities to be traded, the price at which they will be sold and the date of the transaction;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 include a formula for determining the amount, price and date; 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 not permit the trader any influence over how, when or whether to effect a trade and no such influence may in fact be exercised.</w:t>
      </w:r>
    </w:p>
    <w:p>
      <w:pPr>
        <w:pStyle w:val="TextBody"/>
        <w:bidi w:val="0"/>
        <w:jc w:val="left"/>
        <w:rPr>
          <w:rFonts w:ascii="Times New Roman" w:hAnsi="Times New Roman"/>
          <w:color w:val="000000"/>
          <w:sz w:val="20"/>
        </w:rPr>
      </w:pPr>
      <w:r>
        <w:rPr>
          <w:rFonts w:ascii="Times New Roman" w:hAnsi="Times New Roman"/>
          <w:color w:val="000000"/>
          <w:sz w:val="20"/>
        </w:rPr>
        <w:t>If you enter into a 10b5-1 plan which is in writing and approved in advance by the Company's Chief Financial Officer or General Counsel, then you may trade in the Company's securities pursuant to such 10b5-1 plan during a Blackout Period and while otherwise in possession of Material Nonpublic Information.</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Preclearance of Trades by Covered Persons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determined that all Covered Persons must refrain from trading in the Company's securities or engaging in any transaction related to the Company's securities, even outside of a Blackout Period, without first complying with the Company's preclearance process. Each such person must contact the Company's Chief Financial Officer or General Counsel prior to commencing any trade in or transaction related to the Company's securities, including any permitted trade pursuant to a 10b5-1 plan. The Company's Chief Financial Officer or General Counsel will consult as necessary with senior management of the Company before clearing any proposed trade.</w:t>
      </w:r>
    </w:p>
    <w:p>
      <w:pPr>
        <w:pStyle w:val="TextBody"/>
        <w:bidi w:val="0"/>
        <w:jc w:val="left"/>
        <w:rPr/>
      </w:pPr>
      <w:r>
        <w:rPr/>
        <w:t> </w:t>
      </w:r>
    </w:p>
    <w:p>
      <w:pPr>
        <w:pStyle w:val="Heading1"/>
        <w:bidi w:val="0"/>
        <w:jc w:val="center"/>
        <w:rPr>
          <w:rFonts w:ascii="Times New Roman" w:hAnsi="Times New Roman"/>
          <w:color w:val="000000"/>
          <w:sz w:val="20"/>
          <w:u w:val="single"/>
        </w:rPr>
      </w:pPr>
      <w:r>
        <w:rPr>
          <w:rFonts w:ascii="Times New Roman" w:hAnsi="Times New Roman"/>
          <w:color w:val="000000"/>
          <w:sz w:val="20"/>
          <w:u w:val="single"/>
        </w:rPr>
        <w:t xml:space="preserve">Additional Information </w:t>
        <w:noBreakHyphen/>
        <w:t xml:space="preserve"> Directors and Executive Officers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Directors and executive officers of the Company must also comply with the reporting obligations and limitations on certain purchase and sale, or sale and purchase, transactions in the Company's securities made during any given six-month period as set forth in Section 16 of the Securities Exchange Act of 1934 ("short swing transactions"). The practical effect of these provisions is that directors and executive officers who purchase and sell the Company's securities within a six</w:t>
        <w:noBreakHyphen/>
        <w:t xml:space="preserve">month period must disgorge all profits to the Company whether or not they had knowledge of any Material Nonpublic Information. Under these provisions, </w:t>
      </w:r>
      <w:r>
        <w:rPr>
          <w:rFonts w:ascii="Times New Roman" w:hAnsi="Times New Roman"/>
          <w:color w:val="000000"/>
          <w:sz w:val="20"/>
          <w:u w:val="single"/>
        </w:rPr>
        <w:t>and</w:t>
      </w:r>
      <w:r>
        <w:rPr>
          <w:rFonts w:ascii="Times New Roman" w:hAnsi="Times New Roman"/>
          <w:color w:val="000000"/>
          <w:sz w:val="20"/>
        </w:rPr>
        <w:t xml:space="preserve"> </w:t>
      </w:r>
      <w:r>
        <w:rPr>
          <w:rFonts w:ascii="Times New Roman" w:hAnsi="Times New Roman"/>
          <w:color w:val="000000"/>
          <w:sz w:val="20"/>
          <w:u w:val="single"/>
        </w:rPr>
        <w:t>so</w:t>
      </w:r>
      <w:r>
        <w:rPr>
          <w:rFonts w:ascii="Times New Roman" w:hAnsi="Times New Roman"/>
          <w:color w:val="000000"/>
          <w:sz w:val="20"/>
        </w:rPr>
        <w:t xml:space="preserve"> </w:t>
      </w:r>
      <w:r>
        <w:rPr>
          <w:rFonts w:ascii="Times New Roman" w:hAnsi="Times New Roman"/>
          <w:color w:val="000000"/>
          <w:sz w:val="20"/>
          <w:u w:val="single"/>
        </w:rPr>
        <w:t>long</w:t>
      </w:r>
      <w:r>
        <w:rPr>
          <w:rFonts w:ascii="Times New Roman" w:hAnsi="Times New Roman"/>
          <w:color w:val="000000"/>
          <w:sz w:val="20"/>
        </w:rPr>
        <w:t xml:space="preserve"> </w:t>
      </w:r>
      <w:r>
        <w:rPr>
          <w:rFonts w:ascii="Times New Roman" w:hAnsi="Times New Roman"/>
          <w:color w:val="000000"/>
          <w:sz w:val="20"/>
          <w:u w:val="single"/>
        </w:rPr>
        <w:t>as</w:t>
      </w:r>
      <w:r>
        <w:rPr>
          <w:rFonts w:ascii="Times New Roman" w:hAnsi="Times New Roman"/>
          <w:color w:val="000000"/>
          <w:sz w:val="20"/>
        </w:rPr>
        <w:t xml:space="preserve"> </w:t>
      </w:r>
      <w:r>
        <w:rPr>
          <w:rFonts w:ascii="Times New Roman" w:hAnsi="Times New Roman"/>
          <w:color w:val="000000"/>
          <w:sz w:val="20"/>
          <w:u w:val="single"/>
        </w:rPr>
        <w:t>certain</w:t>
      </w:r>
      <w:r>
        <w:rPr>
          <w:rFonts w:ascii="Times New Roman" w:hAnsi="Times New Roman"/>
          <w:color w:val="000000"/>
          <w:sz w:val="20"/>
        </w:rPr>
        <w:t xml:space="preserve"> </w:t>
      </w:r>
      <w:r>
        <w:rPr>
          <w:rFonts w:ascii="Times New Roman" w:hAnsi="Times New Roman"/>
          <w:color w:val="000000"/>
          <w:sz w:val="20"/>
          <w:u w:val="single"/>
        </w:rPr>
        <w:t>other</w:t>
      </w:r>
      <w:r>
        <w:rPr>
          <w:rFonts w:ascii="Times New Roman" w:hAnsi="Times New Roman"/>
          <w:color w:val="000000"/>
          <w:sz w:val="20"/>
        </w:rPr>
        <w:t xml:space="preserve"> </w:t>
      </w:r>
      <w:r>
        <w:rPr>
          <w:rFonts w:ascii="Times New Roman" w:hAnsi="Times New Roman"/>
          <w:color w:val="000000"/>
          <w:sz w:val="20"/>
          <w:u w:val="single"/>
        </w:rPr>
        <w:t>criteria</w:t>
      </w:r>
      <w:r>
        <w:rPr>
          <w:rFonts w:ascii="Times New Roman" w:hAnsi="Times New Roman"/>
          <w:color w:val="000000"/>
          <w:sz w:val="20"/>
        </w:rPr>
        <w:t xml:space="preserve"> </w:t>
      </w:r>
      <w:r>
        <w:rPr>
          <w:rFonts w:ascii="Times New Roman" w:hAnsi="Times New Roman"/>
          <w:color w:val="000000"/>
          <w:sz w:val="20"/>
          <w:u w:val="single"/>
        </w:rPr>
        <w:t>are</w:t>
      </w:r>
      <w:r>
        <w:rPr>
          <w:rFonts w:ascii="Times New Roman" w:hAnsi="Times New Roman"/>
          <w:color w:val="000000"/>
          <w:sz w:val="20"/>
        </w:rPr>
        <w:t xml:space="preserve"> </w:t>
      </w:r>
      <w:r>
        <w:rPr>
          <w:rFonts w:ascii="Times New Roman" w:hAnsi="Times New Roman"/>
          <w:color w:val="000000"/>
          <w:sz w:val="20"/>
          <w:u w:val="single"/>
        </w:rPr>
        <w:t>met</w:t>
      </w:r>
      <w:r>
        <w:rPr>
          <w:rFonts w:ascii="Times New Roman" w:hAnsi="Times New Roman"/>
          <w:color w:val="000000"/>
          <w:sz w:val="20"/>
        </w:rPr>
        <w:t>, neither the receipt of restricted stock, restricted stock units or an option or stock appreciation right under the Company's stock incentive plan, nor the exercise of that option or stock appreciation right is deemed a purchase under Section 16; however, the sale of any such shares is a sale under Section 16. Section 16 prohibits executive officers and directors from ever making a short sale of the Company's stock. A short sale is a sale of securities not owned by the seller or, if owned, not delivered (a "short sale against the box"). Transactions in put and call options for the Company's securities may in some instances constitute a short sale or may otherwise result in liability for short swing profits. All such transactions are prohibited by the Company's Insider Trading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Addendum to the Insider Trading Policy is dated July 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8" w:name="strt-ex21.htm"/>
      <w:bookmarkStart w:id="59" w:name="ksstrtex21"/>
      <w:bookmarkEnd w:id="58"/>
      <w:bookmarkEnd w:id="59"/>
      <w:r>
        <w:rPr>
          <w:rFonts w:ascii="Times New Roman" w:hAnsi="Times New Roman"/>
          <w:color w:val="000000"/>
          <w:sz w:val="20"/>
        </w:rPr>
        <w:t>Exhibit 21</w:t>
      </w:r>
      <w:r>
        <w:br w:type="page"/>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SUBSIDIARIES OF THE COMPANY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u w:val="single"/>
        </w:rPr>
        <w:t>Subsidiary</w:t>
      </w:r>
      <w:r>
        <w:rPr>
          <w:rFonts w:ascii="Times New Roman" w:hAnsi="Times New Roman"/>
          <w:color w:val="000000"/>
          <w:sz w:val="20"/>
        </w:rPr>
        <w:t xml:space="preserve"> </w:t>
      </w:r>
      <w:r>
        <w:rPr>
          <w:rFonts w:ascii="Times New Roman" w:hAnsi="Times New Roman"/>
          <w:color w:val="000000"/>
          <w:sz w:val="20"/>
          <w:u w:val="single"/>
        </w:rPr>
        <w:t>Country of Incorporation</w:t>
      </w:r>
      <w:r>
        <w:rPr>
          <w:rFonts w:ascii="Times New Roman" w:hAnsi="Times New Roman"/>
          <w:color w:val="000000"/>
          <w:sz w:val="20"/>
        </w:rPr>
        <w:t xml:space="preserve"> </w:t>
      </w:r>
      <w:r>
        <w:rPr>
          <w:rFonts w:ascii="Times New Roman" w:hAnsi="Times New Roman"/>
          <w:color w:val="000000"/>
          <w:sz w:val="20"/>
          <w:u w:val="single"/>
        </w:rPr>
        <w:t>Percent Owned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Strattec de Mexico S.A. de C.V. Mexico 100%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Strattec Power Access LLC United States 100%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ADAC-Strattec LLC United States 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0" w:name="strt-ex23_1.htm"/>
      <w:bookmarkStart w:id="61" w:name="ksstrtex23_1"/>
      <w:bookmarkEnd w:id="60"/>
      <w:bookmarkEnd w:id="61"/>
      <w:r>
        <w:rPr>
          <w:rFonts w:ascii="Times New Roman" w:hAnsi="Times New Roman"/>
          <w:color w:val="000000"/>
          <w:sz w:val="20"/>
        </w:rPr>
        <w:t>Exhibit 23.1</w:t>
      </w:r>
      <w:r>
        <w:br w:type="page"/>
      </w:r>
    </w:p>
    <w:p>
      <w:pPr>
        <w:pStyle w:val="TextBody"/>
        <w:bidi w:val="0"/>
        <w:spacing w:before="720" w:after="440"/>
        <w:jc w:val="left"/>
        <w:rPr>
          <w:rFonts w:ascii="Times New Roman" w:hAnsi="Times New Roman"/>
          <w:b/>
          <w:caps/>
          <w:color w:val="000000"/>
          <w:sz w:val="20"/>
        </w:rPr>
      </w:pPr>
      <w:r>
        <w:rPr>
          <w:rFonts w:ascii="Times New Roman" w:hAnsi="Times New Roman"/>
          <w:b/>
          <w:caps/>
          <w:color w:val="000000"/>
          <w:sz w:val="20"/>
        </w:rPr>
        <w:t>CONSENT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333-4300, 333-31002, 333-103219, 333-140715, 333-199906, 333-249611, 333-45221, 333-277037, and 333-282804 on Form S-8 of our reports dated August 28, 2026, relating to the financial statements of Strattec Security Corporation, and the effectiveness of Strattec Security Corporation’s internal control over financial reporting, appearing in this Annual Report on Form 10-K for the year ended June 28, 2026.</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Milwaukee, Wisconsin</w:t>
        <w:br/>
        <w:t>August 28,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2" w:name="strt-ex31_1.htm"/>
      <w:bookmarkStart w:id="63" w:name="ksstrtex31_1"/>
      <w:bookmarkEnd w:id="62"/>
      <w:bookmarkEnd w:id="63"/>
      <w:r>
        <w:rPr>
          <w:rFonts w:ascii="Times New Roman" w:hAnsi="Times New Roman"/>
          <w:color w:val="000000"/>
          <w:sz w:val="20"/>
        </w:rPr>
        <w:t>Exhibit 31.1</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Jennifer L. Slater,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annual report on Form 10-K of Strattec Security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28, 2026</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Jennifer L. Slater </w:t>
      </w:r>
    </w:p>
    <w:p>
      <w:pPr>
        <w:pStyle w:val="TextBody"/>
        <w:bidi w:val="0"/>
        <w:jc w:val="left"/>
        <w:rPr>
          <w:rFonts w:ascii="Times New Roman" w:hAnsi="Times New Roman"/>
          <w:color w:val="000000"/>
          <w:sz w:val="20"/>
        </w:rPr>
      </w:pPr>
      <w:r>
        <w:rPr>
          <w:rFonts w:ascii="Times New Roman" w:hAnsi="Times New Roman"/>
          <w:color w:val="000000"/>
          <w:sz w:val="20"/>
        </w:rPr>
        <w:t xml:space="preserve">Jennifer L. Slater, </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4" w:name="strt-ex31_2.htm"/>
      <w:bookmarkStart w:id="65" w:name="ksstrtex31_2"/>
      <w:bookmarkEnd w:id="64"/>
      <w:bookmarkEnd w:id="65"/>
      <w:r>
        <w:rPr>
          <w:rFonts w:ascii="Times New Roman" w:hAnsi="Times New Roman"/>
          <w:color w:val="000000"/>
          <w:sz w:val="20"/>
        </w:rPr>
        <w:t>Exhibit 31.2</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Matthew Pauli,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annual report on Form 10-K of Strattec Security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28, 2026</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Matthew Pauli </w:t>
      </w:r>
    </w:p>
    <w:p>
      <w:pPr>
        <w:pStyle w:val="TextBody"/>
        <w:bidi w:val="0"/>
        <w:jc w:val="left"/>
        <w:rPr>
          <w:rFonts w:ascii="Times New Roman" w:hAnsi="Times New Roman"/>
          <w:color w:val="000000"/>
          <w:sz w:val="20"/>
        </w:rPr>
      </w:pPr>
      <w:r>
        <w:rPr>
          <w:rFonts w:ascii="Times New Roman" w:hAnsi="Times New Roman"/>
          <w:color w:val="000000"/>
          <w:sz w:val="20"/>
        </w:rPr>
        <w:t>Matthew Pauli,</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6" w:name="strt-ex32.htm"/>
      <w:bookmarkStart w:id="67" w:name="ksstrtex32"/>
      <w:bookmarkEnd w:id="66"/>
      <w:bookmarkEnd w:id="67"/>
      <w:r>
        <w:rPr>
          <w:rFonts w:ascii="Times New Roman" w:hAnsi="Times New Roman"/>
          <w:color w:val="000000"/>
          <w:sz w:val="20"/>
        </w:rPr>
        <w:t>Exhibit 32</w:t>
      </w:r>
      <w:r>
        <w:br w:type="page"/>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Periodic Financial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18 U.S.C. Section 1350, as adopted pursuant to Section 906 of the Sarbanes-Oxley Act of 2002, each of the undersigned officers of Strattec Security Corporation (the "Company") certifies that the Annual Report on Form 10-K of the Company for the year ended June 28, 2026 fully complies with the requirements of Section 13(a) of the Securities Exchange Act of 1934 and information contained in that Form 10-K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273" w:type="dxa"/>
        <w:jc w:val="left"/>
        <w:tblInd w:w="0" w:type="dxa"/>
        <w:tblLayout w:type="fixed"/>
        <w:tblCellMar>
          <w:top w:w="28" w:type="dxa"/>
          <w:left w:w="28" w:type="dxa"/>
          <w:bottom w:w="28" w:type="dxa"/>
          <w:right w:w="28" w:type="dxa"/>
        </w:tblCellMar>
      </w:tblPr>
      <w:tblGrid>
        <w:gridCol w:w="2056"/>
        <w:gridCol w:w="146"/>
        <w:gridCol w:w="207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 Slater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Slater,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213" w:type="dxa"/>
        <w:jc w:val="left"/>
        <w:tblInd w:w="0" w:type="dxa"/>
        <w:tblLayout w:type="fixed"/>
        <w:tblCellMar>
          <w:top w:w="28" w:type="dxa"/>
          <w:left w:w="28" w:type="dxa"/>
          <w:bottom w:w="28" w:type="dxa"/>
          <w:right w:w="28" w:type="dxa"/>
        </w:tblCellMar>
      </w:tblPr>
      <w:tblGrid>
        <w:gridCol w:w="2056"/>
        <w:gridCol w:w="146"/>
        <w:gridCol w:w="201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Pauli</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Pauli,</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certification is made solely for purpose of 18 U.S.C. Section 1350, subject to the knowledge standard contained therein, and not for any other purpose.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33034/000095017024116723/strt-ex3_ex-3-2-bylaws.htm" TargetMode="External"/><Relationship Id="rId4" Type="http://schemas.openxmlformats.org/officeDocument/2006/relationships/hyperlink" Target="https://www.sec.gov/Archives/edgar/data/933034/000119312525258802/strt-ex10_1.htm" TargetMode="External"/><Relationship Id="rId5" Type="http://schemas.openxmlformats.org/officeDocument/2006/relationships/hyperlink" Target="https://www.sec.gov/Archives/edgar/data/933034/000104216710000149/ex1016strt3dtrform10q.htm" TargetMode="External"/><Relationship Id="rId6" Type="http://schemas.openxmlformats.org/officeDocument/2006/relationships/hyperlink" Target="https://www.sec.gov/Archives/edgar/data/933034/000095012316020394/strt-ex1011_10.htm" TargetMode="External"/><Relationship Id="rId7" Type="http://schemas.openxmlformats.org/officeDocument/2006/relationships/hyperlink" Target="https://www.sec.gov/Archives/edgar/data/933034/000114036123054827/ef20015436_ex10-2.htm" TargetMode="External"/><Relationship Id="rId8" Type="http://schemas.openxmlformats.org/officeDocument/2006/relationships/hyperlink" Target="https://www.sec.gov/Archives/edgar/data/933034/000095017024073338/strt-ex10_1.htm" TargetMode="External"/><Relationship Id="rId9" Type="http://schemas.openxmlformats.org/officeDocument/2006/relationships/hyperlink" Target="https://www.sec.gov/Archives/edgar/data/933034/000095017024123365/strt-ex10_3.htm" TargetMode="External"/><Relationship Id="rId10" Type="http://schemas.openxmlformats.org/officeDocument/2006/relationships/hyperlink" Target="https://www.sec.gov/Archives/edgar/data/933034/000095017024124505/strt-ex10_1.htm" TargetMode="External"/><Relationship Id="rId11" Type="http://schemas.openxmlformats.org/officeDocument/2006/relationships/hyperlink" Target="https://www.sec.gov/Archives/edgar/data/933034/000119312523230022/d485535ddef14a.htm" TargetMode="External"/><Relationship Id="rId12" Type="http://schemas.openxmlformats.org/officeDocument/2006/relationships/hyperlink" Target="https://www.sec.gov/Archives/edgar/data/933034/000119312523230022/d485535ddef14a.htm" TargetMode="External"/><Relationship Id="rId13" Type="http://schemas.openxmlformats.org/officeDocument/2006/relationships/hyperlink" Target="https://www.sec.gov/Archives/edgar/data/933034/000095017024116723/strt-ex10_ex-10-1-eip.htm" TargetMode="External"/><Relationship Id="rId14" Type="http://schemas.openxmlformats.org/officeDocument/2006/relationships/hyperlink" Target="https://www.sec.gov/Archives/edgar/data/933034/000095017024116723/strt-ex10_ex-10-1-eip.htm" TargetMode="External"/><Relationship Id="rId15" Type="http://schemas.openxmlformats.org/officeDocument/2006/relationships/hyperlink" Target="https://www.sec.gov/Archives/edgar/data/933034/000156459014004002/strt-ex108_20140629723.htm" TargetMode="External"/><Relationship Id="rId16" Type="http://schemas.openxmlformats.org/officeDocument/2006/relationships/hyperlink" Target="https://www.sec.gov/Archives/edgar/data/933034/000095017025015878/strt-ex10_10.htm" TargetMode="External"/><Relationship Id="rId17" Type="http://schemas.openxmlformats.org/officeDocument/2006/relationships/hyperlink" Target="https://www.sec.gov/Archives/edgar/data/933034/000095017025015878/strt-ex10_11.htm" TargetMode="External"/><Relationship Id="rId18" Type="http://schemas.openxmlformats.org/officeDocument/2006/relationships/hyperlink" Target="https://www.sec.gov/Archives/edgar/data/933034/000095017025015878/strt-ex10_11.htm" TargetMode="External"/><Relationship Id="rId19" Type="http://schemas.openxmlformats.org/officeDocument/2006/relationships/hyperlink" Target="https://www.sec.gov/Archives/edgar/data/933034/000119312525260138/strt-ex10_2.htm" TargetMode="External"/><Relationship Id="rId20" Type="http://schemas.openxmlformats.org/officeDocument/2006/relationships/hyperlink" Target="https://www.sec.gov/Archives/edgar/data/933034/000119312525260138/strt-ex10_1.htm" TargetMode="External"/><Relationship Id="rId21" Type="http://schemas.openxmlformats.org/officeDocument/2006/relationships/hyperlink" Target="https://www.sec.gov/Archives/edgar/data/933034/000119312525260138/strt-ex10_3.htm" TargetMode="External"/><Relationship Id="rId22" Type="http://schemas.openxmlformats.org/officeDocument/2006/relationships/hyperlink" Target="https://www.sec.gov/Archives/edgar/data/933034/000095017024119619/strt-ex10_1.htm" TargetMode="External"/><Relationship Id="rId23" Type="http://schemas.openxmlformats.org/officeDocument/2006/relationships/hyperlink" Target="https://www.sec.gov/Archives/edgar/data/933034/000095017024119619/strt-ex10_1.htm" TargetMode="External"/><Relationship Id="rId24" Type="http://schemas.openxmlformats.org/officeDocument/2006/relationships/hyperlink" Target="https://www.sec.gov/Archives/edgar/data/933034/000095017024119619/strt-ex10_2.htm" TargetMode="External"/><Relationship Id="rId25" Type="http://schemas.openxmlformats.org/officeDocument/2006/relationships/hyperlink" Target="https://www.sec.gov/Archives/edgar/data/933034/000095017024119619/strt-ex10_2.htm" TargetMode="External"/><Relationship Id="rId26" Type="http://schemas.openxmlformats.org/officeDocument/2006/relationships/hyperlink" Target="https://www.sec.gov/Archives/edgar/data/933034/000095017024119619/strt-ex10_3.htm" TargetMode="External"/><Relationship Id="rId27" Type="http://schemas.openxmlformats.org/officeDocument/2006/relationships/hyperlink" Target="https://www.sec.gov/Archives/edgar/data/933034/000095017024119619/strt-ex10_3.htm" TargetMode="External"/><Relationship Id="rId28" Type="http://schemas.openxmlformats.org/officeDocument/2006/relationships/hyperlink" Target="https://www.sec.gov/Archives/edgar/data/933034/000095017024119619/strt-ex10_4.htm" TargetMode="External"/><Relationship Id="rId29" Type="http://schemas.openxmlformats.org/officeDocument/2006/relationships/hyperlink" Target="https://www.sec.gov/Archives/edgar/data/933034/000095017025015878/strt-ex10_9.htm" TargetMode="External"/><Relationship Id="rId30" Type="http://schemas.openxmlformats.org/officeDocument/2006/relationships/hyperlink" Target="https://www.sec.gov/Archives/edgar/data/933034/000095017024012813/strt-ex10_1.htm" TargetMode="External"/><Relationship Id="rId31" Type="http://schemas.openxmlformats.org/officeDocument/2006/relationships/hyperlink" Target="https://www.sec.gov/Archives/edgar/data/933034/000095017024012813/strt-ex10_1.htm" TargetMode="External"/><Relationship Id="rId32" Type="http://schemas.openxmlformats.org/officeDocument/2006/relationships/hyperlink" Target="https://www.sec.gov/Archives/edgar/data/933034/000095017023046852/strt-ex10_22.htm" TargetMode="External"/><Relationship Id="rId33" Type="http://schemas.openxmlformats.org/officeDocument/2006/relationships/hyperlink" Target="https://www.sec.gov/Archives/edgar/data/933034/000104216713000167/exhibit991october9.htm" TargetMode="External"/><Relationship Id="rId34" Type="http://schemas.openxmlformats.org/officeDocument/2006/relationships/hyperlink" Target="https://www.sec.gov/Archives/edgar/data/933034/000095017025111218/strt-ex10_25.htm" TargetMode="External"/><Relationship Id="rId35" Type="http://schemas.openxmlformats.org/officeDocument/2006/relationships/hyperlink" Target="https://www.sec.gov/Archives/edgar/data/933034/000095017025111218/strt-ex97.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41747</Words>
  <Characters>232457</Characters>
  <CharactersWithSpaces>275231</CharactersWithSpaces>
  <Paragraphs>8027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