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t-20260507.htm"/>
      <w:bookmarkStart w:id="1" w:name="ksstrt20260507"/>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91440</wp:posOffset>
            </wp:positionV>
            <wp:extent cx="2359025" cy="53975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9025" cy="539750"/>
                    </a:xfrm>
                    <a:prstGeom prst="rect">
                      <a:avLst/>
                    </a:prstGeom>
                  </pic:spPr>
                </pic:pic>
              </a:graphicData>
            </a:graphic>
          </wp:anchor>
        </w:drawing>
      </w:r>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May 7,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051"/>
        <w:gridCol w:w="4726"/>
      </w:tblGrid>
      <w:tr>
        <w:trPr/>
        <w:tc>
          <w:tcPr>
            <w:tcW w:w="105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2.02</w:t>
            </w:r>
          </w:p>
        </w:tc>
        <w:tc>
          <w:tcPr>
            <w:tcW w:w="472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Times New Roman" w:hAnsi="Times New Roman"/>
                <w:b/>
                <w:color w:val="000000"/>
                <w:sz w:val="22"/>
              </w:rPr>
              <w:t>Results of Operations and Financial Condition</w:t>
            </w:r>
            <w:r>
              <w:rPr>
                <w:rFonts w:ascii="Times New Roman" w:hAnsi="Times New Roman"/>
                <w:color w:val="000000"/>
                <w:sz w:val="22"/>
              </w:rPr>
              <w:t>.</w:t>
            </w:r>
          </w:p>
        </w:tc>
      </w:tr>
    </w:tbl>
    <w:p>
      <w:pPr>
        <w:pStyle w:val="TextBody"/>
        <w:bidi w:val="0"/>
        <w:spacing w:before="120" w:after="160"/>
        <w:jc w:val="both"/>
        <w:rPr>
          <w:rFonts w:ascii="Times New Roman" w:hAnsi="Times New Roman"/>
          <w:sz w:val="20"/>
        </w:rPr>
      </w:pPr>
      <w:r>
        <w:rPr>
          <w:rFonts w:ascii="Times New Roman" w:hAnsi="Times New Roman"/>
          <w:color w:val="000000"/>
          <w:sz w:val="22"/>
        </w:rPr>
        <w:t>On May 7, 2026, Strattec Security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issued a press release (the “</w:t>
      </w:r>
      <w:r>
        <w:rPr>
          <w:rFonts w:ascii="Times New Roman" w:hAnsi="Times New Roman"/>
          <w:color w:val="000000"/>
          <w:sz w:val="22"/>
          <w:u w:val="single"/>
        </w:rPr>
        <w:t>Press Release</w:t>
      </w:r>
      <w:r>
        <w:rPr>
          <w:rFonts w:ascii="Times New Roman" w:hAnsi="Times New Roman"/>
          <w:color w:val="000000"/>
          <w:sz w:val="20"/>
        </w:rPr>
        <w:t>”</w:t>
      </w:r>
      <w:r>
        <w:rPr>
          <w:rFonts w:ascii="Times New Roman" w:hAnsi="Times New Roman"/>
          <w:color w:val="000000"/>
          <w:sz w:val="22"/>
        </w:rPr>
        <w:t>) announcing results for the fiscal third quarter ended March 29, 2026. A copy of the Press Release is attached as Exhibit 99.1 to this Current Report on Form 8-K.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Also on May 7, 2026, the Company first provided investors with a supplemental presentation regarding fiscal third quarter earnings and other current financial information, attached as Exhibit 99.2 hereto and incorporated by reference herein (the “</w:t>
      </w:r>
      <w:r>
        <w:rPr>
          <w:rFonts w:ascii="Times New Roman" w:hAnsi="Times New Roman"/>
          <w:color w:val="000000"/>
          <w:sz w:val="22"/>
          <w:u w:val="single"/>
        </w:rPr>
        <w:t>Investor Presentation</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2.02 and Exhibits 99.1 and 99.2 is being furnished and shall not be deemed to be “filed” for purposes of Section 18 of the </w:t>
      </w:r>
      <w:r>
        <w:rPr>
          <w:rFonts w:ascii="Times New Roman" w:hAnsi="Times New Roman"/>
          <w:color w:val="000000"/>
          <w:sz w:val="22"/>
          <w:u w:val="single"/>
        </w:rPr>
        <w:t>Securities Exchange Act of 1934</w:t>
      </w:r>
      <w:r>
        <w:rPr>
          <w:rFonts w:ascii="Times New Roman" w:hAnsi="Times New Roman"/>
          <w:color w:val="000000"/>
          <w:sz w:val="22"/>
        </w:rPr>
        <w:t>,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xml:space="preserve">), or otherwise subject to the liability of that section. Furthermore, the information in this Item 2.02 and Exhibits 99.1 and 99.2 shall not be deemed to be incorporated by reference into the filings of the Company under the </w:t>
      </w:r>
      <w:r>
        <w:rPr>
          <w:rFonts w:ascii="Times New Roman" w:hAnsi="Times New Roman"/>
          <w:color w:val="000000"/>
          <w:sz w:val="22"/>
          <w:u w:val="single"/>
        </w:rPr>
        <w:t>Securities Act of 1933</w:t>
      </w:r>
      <w:r>
        <w:rPr>
          <w:rFonts w:ascii="Times New Roman" w:hAnsi="Times New Roman"/>
          <w:color w:val="000000"/>
          <w:sz w:val="22"/>
        </w:rPr>
        <w:t>, as amended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except as may be expressly set forth by specific reference in such filing.</w:t>
      </w:r>
    </w:p>
    <w:tbl>
      <w:tblPr>
        <w:tblW w:w="3767" w:type="dxa"/>
        <w:jc w:val="left"/>
        <w:tblInd w:w="0" w:type="dxa"/>
        <w:tblLayout w:type="fixed"/>
        <w:tblCellMar>
          <w:top w:w="28" w:type="dxa"/>
          <w:left w:w="28" w:type="dxa"/>
          <w:bottom w:w="28" w:type="dxa"/>
          <w:right w:w="28" w:type="dxa"/>
        </w:tblCellMar>
      </w:tblPr>
      <w:tblGrid>
        <w:gridCol w:w="1051"/>
        <w:gridCol w:w="2716"/>
      </w:tblGrid>
      <w:tr>
        <w:trPr/>
        <w:tc>
          <w:tcPr>
            <w:tcW w:w="10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7.01</w:t>
            </w:r>
          </w:p>
        </w:tc>
        <w:tc>
          <w:tcPr>
            <w:tcW w:w="2716" w:type="dxa"/>
            <w:tcBorders/>
            <w:shd w:fill="FFFFFF" w:val="clear"/>
            <w:tcMar>
              <w:top w:w="0" w:type="dxa"/>
              <w:left w:w="0" w:type="dxa"/>
              <w:bottom w:w="0" w:type="dxa"/>
              <w:right w:w="0" w:type="dxa"/>
            </w:tcMar>
            <w:vAlign w:val="center"/>
          </w:tcPr>
          <w:p>
            <w:pPr>
              <w:pStyle w:val="TableContents"/>
              <w:bidi w:val="0"/>
              <w:spacing w:before="0" w:after="160"/>
              <w:jc w:val="both"/>
              <w:rPr>
                <w:rFonts w:ascii="Times New Roman" w:hAnsi="Times New Roman"/>
                <w:b/>
                <w:color w:val="000000"/>
                <w:sz w:val="22"/>
              </w:rPr>
            </w:pPr>
            <w:r>
              <w:rPr>
                <w:rFonts w:ascii="Times New Roman" w:hAnsi="Times New Roman"/>
                <w:b/>
                <w:color w:val="000000"/>
                <w:sz w:val="22"/>
              </w:rPr>
              <w:t>Regulation FD Disclosure.</w:t>
            </w:r>
          </w:p>
        </w:tc>
      </w:tr>
    </w:tbl>
    <w:p>
      <w:pPr>
        <w:pStyle w:val="TextBody"/>
        <w:bidi w:val="0"/>
        <w:spacing w:before="120" w:after="160"/>
        <w:jc w:val="both"/>
        <w:rPr>
          <w:rFonts w:ascii="Times New Roman" w:hAnsi="Times New Roman"/>
          <w:color w:val="000000"/>
          <w:sz w:val="22"/>
        </w:rPr>
      </w:pPr>
      <w:r>
        <w:rPr>
          <w:rFonts w:ascii="Times New Roman" w:hAnsi="Times New Roman"/>
          <w:color w:val="000000"/>
          <w:sz w:val="22"/>
        </w:rPr>
        <w:t>As described in “Item 2.02 Results of Operations and Financial Condition” above, on May 7, 2026, the Company issued a Press Release announcing earnings results for the fiscal third quarter ended March 29, 2026 and an Investor Presentation containing supplemental fiscal third quarter earnings and other current financial information. The Press Release and Investor Presentation issued in connection with the announcement are attached as Exhibits 99.1 and 99.2 to this Current Report on Form 8-K.</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7.01 and Exhibits 99.1 and 99.2 is being furnished and shall not be deemed to be “filed” for purposes of Section 18 of the </w:t>
      </w:r>
      <w:r>
        <w:rPr>
          <w:rFonts w:ascii="Times New Roman" w:hAnsi="Times New Roman"/>
          <w:color w:val="000000"/>
          <w:sz w:val="22"/>
          <w:u w:val="single"/>
        </w:rPr>
        <w:t>Exchange Act</w:t>
      </w:r>
      <w:r>
        <w:rPr>
          <w:rFonts w:ascii="Times New Roman" w:hAnsi="Times New Roman"/>
          <w:color w:val="000000"/>
          <w:sz w:val="22"/>
        </w:rPr>
        <w:t xml:space="preserve">, or otherwise subject to the liability of that section. Furthermore, the information in this Item 7.01 and Exhibits 99.1 and 99.2 shall not be deemed to be incorporated by reference into the filings of the Company under the </w:t>
      </w:r>
      <w:r>
        <w:rPr>
          <w:rFonts w:ascii="Times New Roman" w:hAnsi="Times New Roman"/>
          <w:color w:val="000000"/>
          <w:sz w:val="22"/>
          <w:u w:val="single"/>
        </w:rPr>
        <w:t>Securities Act</w:t>
      </w:r>
      <w:r>
        <w:rPr>
          <w:rFonts w:ascii="Times New Roman" w:hAnsi="Times New Roman"/>
          <w:color w:val="000000"/>
          <w:sz w:val="22"/>
        </w:rPr>
        <w:t>, except as may be expressly set forth by specific reference in such filing.</w:t>
      </w:r>
    </w:p>
    <w:tbl>
      <w:tblPr>
        <w:tblW w:w="4562" w:type="dxa"/>
        <w:jc w:val="left"/>
        <w:tblInd w:w="0" w:type="dxa"/>
        <w:tblLayout w:type="fixed"/>
        <w:tblCellMar>
          <w:top w:w="28" w:type="dxa"/>
          <w:left w:w="28" w:type="dxa"/>
          <w:bottom w:w="28" w:type="dxa"/>
          <w:right w:w="28" w:type="dxa"/>
        </w:tblCellMar>
      </w:tblPr>
      <w:tblGrid>
        <w:gridCol w:w="1051"/>
        <w:gridCol w:w="3511"/>
      </w:tblGrid>
      <w:tr>
        <w:trPr/>
        <w:tc>
          <w:tcPr>
            <w:tcW w:w="105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9.01</w:t>
            </w:r>
          </w:p>
        </w:tc>
        <w:tc>
          <w:tcPr>
            <w:tcW w:w="351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Financial Statements and Exhibits.</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Exhibits</w:t>
      </w:r>
      <w:r>
        <w:rPr>
          <w:rFonts w:ascii="Times New Roman" w:hAnsi="Times New Roman"/>
          <w:color w:val="000000"/>
          <w:sz w:val="22"/>
        </w:rPr>
        <w:t>.</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1621"/>
        <w:gridCol w:w="8266"/>
      </w:tblGrid>
      <w:tr>
        <w:trPr/>
        <w:tc>
          <w:tcPr>
            <w:tcW w:w="1621"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Exhibit </w:t>
            </w:r>
            <w:r>
              <w:rPr>
                <w:rFonts w:ascii="Times New Roman" w:hAnsi="Times New Roman"/>
                <w:color w:val="000000"/>
                <w:sz w:val="22"/>
                <w:u w:val="single"/>
              </w:rPr>
              <w:t>Number</w:t>
            </w:r>
          </w:p>
        </w:tc>
        <w:tc>
          <w:tcPr>
            <w:tcW w:w="82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8266" w:type="dxa"/>
            <w:tcBorders/>
            <w:tcMar>
              <w:top w:w="0" w:type="dxa"/>
              <w:left w:w="0" w:type="dxa"/>
              <w:bottom w:w="0" w:type="dxa"/>
              <w:right w:w="0" w:type="dxa"/>
            </w:tcMar>
            <w:vAlign w:val="center"/>
          </w:tcPr>
          <w:p>
            <w:pPr>
              <w:pStyle w:val="TableContents"/>
              <w:bidi w:val="0"/>
              <w:spacing w:before="0" w:after="283"/>
              <w:jc w:val="left"/>
              <w:rPr/>
            </w:pPr>
            <w:hyperlink w:anchor="strt-ex99_1.htm">
              <w:r>
                <w:rPr>
                  <w:rStyle w:val="InternetLink"/>
                  <w:rFonts w:ascii="Times New Roman" w:hAnsi="Times New Roman"/>
                  <w:color w:val="0000FF"/>
                  <w:sz w:val="22"/>
                  <w:u w:val="single"/>
                </w:rPr>
                <w:t>Press Release of Strattec Security Corporation, issued May 7, 2026</w:t>
              </w:r>
            </w:hyperlink>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99.2</w:t>
            </w:r>
          </w:p>
        </w:tc>
        <w:tc>
          <w:tcPr>
            <w:tcW w:w="8266" w:type="dxa"/>
            <w:tcBorders/>
            <w:tcMar>
              <w:top w:w="0" w:type="dxa"/>
              <w:left w:w="0" w:type="dxa"/>
              <w:bottom w:w="0" w:type="dxa"/>
              <w:right w:w="0" w:type="dxa"/>
            </w:tcMar>
            <w:vAlign w:val="center"/>
          </w:tcPr>
          <w:p>
            <w:pPr>
              <w:pStyle w:val="TableContents"/>
              <w:bidi w:val="0"/>
              <w:spacing w:before="0" w:after="283"/>
              <w:jc w:val="left"/>
              <w:rPr/>
            </w:pPr>
            <w:hyperlink w:anchor="strt-ex99_2.htm">
              <w:r>
                <w:rPr>
                  <w:rStyle w:val="InternetLink"/>
                  <w:rFonts w:ascii="Times New Roman" w:hAnsi="Times New Roman"/>
                  <w:color w:val="0000FF"/>
                  <w:sz w:val="22"/>
                  <w:u w:val="single"/>
                </w:rPr>
                <w:t>Investor Presentation</w:t>
              </w:r>
            </w:hyperlink>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 – 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STRATTEC SECURITY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Matthew P. Pauli </w:t>
      </w:r>
    </w:p>
    <w:p>
      <w:pPr>
        <w:pStyle w:val="TextBody"/>
        <w:bidi w:val="0"/>
        <w:jc w:val="left"/>
        <w:rPr>
          <w:rFonts w:ascii="Times New Roman" w:hAnsi="Times New Roman"/>
          <w:sz w:val="20"/>
        </w:rPr>
      </w:pPr>
      <w:r>
        <w:rPr>
          <w:rFonts w:ascii="Times New Roman" w:hAnsi="Times New Roman"/>
          <w:color w:val="000000"/>
          <w:sz w:val="22"/>
        </w:rPr>
        <w:t>Matthew P. Pauli, Senior Vice President and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Date: May 7,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48"/>
        </w:rPr>
      </w:pPr>
      <w:bookmarkStart w:id="2" w:name="strt-ex99_1.htm"/>
      <w:bookmarkStart w:id="3" w:name="ksstrtex99_1"/>
      <w:bookmarkEnd w:id="2"/>
      <w:bookmarkEnd w:id="3"/>
      <w:r>
        <w:rPr>
          <w:rFonts w:ascii="Times New Roman" w:hAnsi="Times New Roman"/>
          <w:b/>
          <w:color w:val="000000"/>
          <w:sz w:val="48"/>
        </w:rPr>
        <w:t>NEWS</w:t>
        <w:br/>
        <w:t>RELEASE</w:t>
      </w:r>
      <w:r>
        <w:br w:type="page"/>
      </w:r>
    </w:p>
    <w:p>
      <w:pPr>
        <w:pStyle w:val="TextBody"/>
        <w:bidi w:val="0"/>
        <w:jc w:val="left"/>
        <w:rPr/>
      </w:pPr>
      <w:r>
        <w:rPr/>
        <w:t> </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 xml:space="preserve">FOR IMMEDIATE RELEASE </w:t>
      </w:r>
    </w:p>
    <w:p>
      <w:pPr>
        <w:pStyle w:val="TextBody"/>
        <w:bidi w:val="0"/>
        <w:spacing w:before="0" w:after="160"/>
        <w:jc w:val="left"/>
        <w:rPr>
          <w:rFonts w:ascii="Times New Roman" w:hAnsi="Times New Roman"/>
          <w:sz w:val="20"/>
        </w:rPr>
      </w:pPr>
      <w:r>
        <w:rPr>
          <w:rFonts w:ascii="Roboto;sans-serif" w:hAnsi="Roboto;sans-serif"/>
          <w:b/>
          <w:smallCaps/>
          <w:color w:val="000000"/>
          <w:sz w:val="28"/>
        </w:rPr>
        <w:t>For Third Quarter Fiscal 2026, Strattec Continued to Advance Transformation Efforts to Strengthen Business Performance</w:t>
      </w:r>
      <w:r>
        <w:rPr>
          <w:rFonts w:ascii="Times New Roman" w:hAnsi="Times New Roman"/>
          <w:smallCaps/>
          <w:color w:val="000000"/>
          <w:sz w:val="20"/>
        </w:rPr>
        <w:t xml:space="preserve">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 xml:space="preserve">Strong balance sheet provides financial flexibility with $107 million of cash; $11.4 million of cash generated from operations in the third quarter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Sales declined 4.5%, consistent with expectations, on lower North American OEM automotive production volumes of key platforms</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Gross margin improved 50 basis points year-over-year to 16.5%, despite the sales decline and 170 basis point foreign currency exchange rate headwind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Roboto;sans-serif" w:hAnsi="Roboto;sans-serif"/>
          <w:i/>
          <w:color w:val="000000"/>
          <w:sz w:val="24"/>
        </w:rPr>
        <w:t>Net income attributable to Strattec was $3.2 million, or $0.78 per diluted share; Adjusted EBITDA</w:t>
      </w:r>
      <w:r>
        <w:rPr>
          <w:rFonts w:ascii="Roboto;sans-serif" w:hAnsi="Roboto;sans-serif"/>
          <w:i/>
          <w:color w:val="000000"/>
          <w:sz w:val="16"/>
        </w:rPr>
        <w:t>1</w:t>
      </w:r>
      <w:r>
        <w:rPr>
          <w:color w:val="000000"/>
        </w:rPr>
        <w:t xml:space="preserve"> </w:t>
      </w:r>
      <w:r>
        <w:rPr>
          <w:rFonts w:ascii="Roboto;sans-serif" w:hAnsi="Roboto;sans-serif"/>
          <w:i/>
          <w:color w:val="000000"/>
          <w:sz w:val="24"/>
        </w:rPr>
        <w:t>was $10.1 million, or 7.3% of net sales</w:t>
      </w:r>
    </w:p>
    <w:p>
      <w:pPr>
        <w:pStyle w:val="TextBody"/>
        <w:bidi w:val="0"/>
        <w:spacing w:before="0" w:after="160"/>
        <w:ind w:left="720" w:right="0" w:hanging="0"/>
        <w:jc w:val="left"/>
        <w:rPr/>
      </w:pPr>
      <w:r>
        <w:rPr/>
        <w:t> </w:t>
      </w:r>
    </w:p>
    <w:p>
      <w:pPr>
        <w:pStyle w:val="TextBody"/>
        <w:bidi w:val="0"/>
        <w:spacing w:before="240" w:after="160"/>
        <w:jc w:val="left"/>
        <w:rPr>
          <w:rFonts w:ascii="Times New Roman" w:hAnsi="Times New Roman"/>
          <w:sz w:val="20"/>
        </w:rPr>
      </w:pPr>
      <w:r>
        <w:rPr>
          <w:rFonts w:ascii="Roboto;sans-serif" w:hAnsi="Roboto;sans-serif"/>
          <w:b/>
          <w:color w:val="000000"/>
          <w:sz w:val="22"/>
        </w:rPr>
        <w:t>MILWAUKEE, WI</w:t>
      </w:r>
      <w:r>
        <w:rPr>
          <w:rFonts w:ascii="Roboto;sans-serif" w:hAnsi="Roboto;sans-serif"/>
          <w:color w:val="000000"/>
          <w:sz w:val="22"/>
        </w:rPr>
        <w:t xml:space="preserve">, May 7, 2026 — </w:t>
      </w:r>
      <w:r>
        <w:rPr>
          <w:rFonts w:ascii="Roboto;sans-serif" w:hAnsi="Roboto;sans-serif"/>
          <w:sz w:val="22"/>
        </w:rPr>
        <w:t>Strattec</w:t>
      </w:r>
      <w:r>
        <w:rPr>
          <w:rFonts w:ascii="Times New Roman" w:hAnsi="Times New Roman"/>
          <w:color w:val="000000"/>
          <w:sz w:val="20"/>
        </w:rPr>
        <w:t xml:space="preserve"> </w:t>
      </w:r>
      <w:r>
        <w:rPr>
          <w:rFonts w:ascii="Roboto;sans-serif" w:hAnsi="Roboto;sans-serif"/>
          <w:color w:val="000000"/>
          <w:sz w:val="22"/>
        </w:rPr>
        <w:t>(Nasdaq: STRT), a global provider of highly engineered access solutions for the automotive and mobility industries, today reported financial results for its third quarter of fiscal year 2026, which ended March 29, 2026.</w:t>
      </w:r>
    </w:p>
    <w:p>
      <w:pPr>
        <w:pStyle w:val="TextBody"/>
        <w:bidi w:val="0"/>
        <w:spacing w:before="0" w:after="160"/>
        <w:jc w:val="left"/>
        <w:rPr>
          <w:rFonts w:ascii="Times New Roman" w:hAnsi="Times New Roman"/>
          <w:sz w:val="20"/>
        </w:rPr>
      </w:pPr>
      <w:r>
        <w:rPr>
          <w:rFonts w:ascii="Roboto;sans-serif" w:hAnsi="Roboto;sans-serif"/>
          <w:color w:val="000000"/>
          <w:sz w:val="22"/>
        </w:rPr>
        <w:t>Jennifer Slater, President and CEO of Strattec, said, “We are continuing to progress on our strategy to transform Strattec into a more predictable, higher performing business even as we continually face the challenges of the automotive industry including weak end market demand, platform changes, tariffs and the long-cycle nature of the sector. Our near-term objectives remain focused on improving our cost structure and driving a stronger more predictable business while positioning ourselves to win new opportunities on future platforms for model years 2029 and beyond and developing deeper relationships with both current and prospective customers.”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She concluded, “Our team is leaning into the challenges and recognizes there is still more work to be done. We are encouraged with our potential and are supported with a very solid balance sheet and strong cash generation.”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b/>
          <w:smallCaps/>
          <w:color w:val="000000"/>
          <w:sz w:val="24"/>
        </w:rPr>
        <w:t>FY 2026 Third Quarter Financial Summary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Net sales were $137.6 million, down $6.5 million, or 4.5% from the prior-year period. Lower sales were the result of $7.7 million in lower volume including $3.4 million lower sales related to customer EV program cancellations. The volume declines were partially offset by $1.3 million in pricing including $0.6 million in tariff recoveries.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20"/>
        </w:rPr>
        <w:t>Refer to use of “Non-GAAP Financial Metrics and Additional Financial Information” as well as accompanying reconciliations to GAAP</w:t>
      </w:r>
      <w:r>
        <w:rPr>
          <w:rFonts w:ascii="Times New Roman" w:hAnsi="Times New Roman"/>
          <w:color w:val="000000"/>
          <w:sz w:val="20"/>
        </w:rPr>
        <w:t xml:space="preserve"> </w:t>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2686"/>
        <w:gridCol w:w="2011"/>
        <w:gridCol w:w="1021"/>
      </w:tblGrid>
      <w:tr>
        <w:trPr/>
        <w:tc>
          <w:tcPr>
            <w:tcW w:w="26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686"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3333 WEST GOOD HOPE ROAD</w:t>
              <w:br/>
              <w:t>MILWAUKEE, WI 53209</w:t>
            </w:r>
          </w:p>
        </w:tc>
        <w:tc>
          <w:tcPr>
            <w:tcW w:w="20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414.247.3333</w:t>
              <w:br/>
              <w:t>WWW.STRATTEC.COM</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NASDAQ: </w:t>
              <w:br/>
              <w:t>STRT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2</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Times New Roman" w:hAnsi="Times New Roman"/>
          <w:sz w:val="20"/>
        </w:rPr>
      </w:pPr>
      <w:r>
        <w:rPr>
          <w:rFonts w:ascii="Roboto;sans-serif" w:hAnsi="Roboto;sans-serif"/>
          <w:color w:val="000000"/>
          <w:sz w:val="22"/>
        </w:rPr>
        <w:t>Gross profit was $22.7 million, compared with $23.1 million in the prior year, on lower volume. Gross margin expanded 50 basis points to 16.5% primarily as a result of $1.7 million in restructuring savings and $0.6 million of recoveries from customer program cancellations. Partially offsetting these benefits were $2.5 million higher costs related to unfavorable changes in foreign exchange rates,</w:t>
        <w:br/>
        <w:t>a $0.5 million increase in labor and benefit costs, and $0.3 million of incremental tariff costs.</w:t>
      </w:r>
      <w:r>
        <w:rPr>
          <w:rFonts w:ascii="Times New Roman" w:hAnsi="Times New Roman"/>
          <w:color w:val="000000"/>
          <w:sz w:val="20"/>
        </w:rPr>
        <w:t xml:space="preserve"> </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Selling, administrative and engineering (“SAE”) expenses increased $1.6 million to $17.6 million, or 12.8% of sales, compared with $16.0 million, or 11.1% of sales, in the prior-year period. Elevated SAE expenses included $1.4 million in business transformation and executive transition costs, $1.3 million increase in salaries and employee benefits and $0.4 million increase in professional fees. These costs were partially offset by $0.7 million in recoveries related to customer cancelled EV programs and restructuring savings of $0.2 million.</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 xml:space="preserve">Interest income grew $0.4 million on higher cash balances, while interest expenses declined </w:t>
        <w:br/>
        <w:t>$0.2 million on lower borrowings. Other expense increased $0.7 million primarily as a result of unfavorable foreign currency movements at the end of the reported period and related fair value adjustments to foreign currency forward contracts.</w:t>
      </w:r>
    </w:p>
    <w:p>
      <w:pPr>
        <w:pStyle w:val="TextBody"/>
        <w:bidi w:val="0"/>
        <w:spacing w:before="0" w:after="160"/>
        <w:jc w:val="left"/>
        <w:rPr>
          <w:rFonts w:ascii="Times New Roman" w:hAnsi="Times New Roman"/>
          <w:sz w:val="20"/>
        </w:rPr>
      </w:pPr>
      <w:r>
        <w:rPr>
          <w:rFonts w:ascii="Roboto;sans-serif" w:hAnsi="Roboto;sans-serif"/>
          <w:color w:val="000000"/>
          <w:sz w:val="22"/>
        </w:rPr>
        <w:t xml:space="preserve">Net income attributable to Strattec was $3.2 million, or $0.78 per diluted share, compared with </w:t>
        <w:br/>
        <w:t>$5.4 million, or $1.32 per diluted share, in the prior-year period. On an adjusted basis, third quarter fiscal 2026 net income attributable to Strattec was $3.7 million and adjusted diluted earnings per share</w:t>
      </w:r>
      <w:r>
        <w:rPr>
          <w:rFonts w:ascii="Roboto;sans-serif" w:hAnsi="Roboto;sans-serif"/>
          <w:color w:val="000000"/>
          <w:sz w:val="15"/>
        </w:rPr>
        <w:t>1</w:t>
      </w:r>
      <w:r>
        <w:rPr>
          <w:rFonts w:ascii="Times New Roman" w:hAnsi="Times New Roman"/>
          <w:color w:val="000000"/>
          <w:sz w:val="20"/>
        </w:rPr>
        <w:t xml:space="preserve"> </w:t>
      </w:r>
      <w:r>
        <w:rPr>
          <w:rFonts w:ascii="Roboto;sans-serif" w:hAnsi="Roboto;sans-serif"/>
          <w:color w:val="000000"/>
          <w:sz w:val="22"/>
        </w:rPr>
        <w:t>was $0.90, compared with $1.50 in the prior year. Lower adjusted dilutive earnings per share was primarily the result of changes in foreign currency exchange rates, which unfavorably impacted year-over-year comparisons of both cost of goods sold and other income and expense.</w:t>
      </w:r>
    </w:p>
    <w:p>
      <w:pPr>
        <w:pStyle w:val="TextBody"/>
        <w:bidi w:val="0"/>
        <w:spacing w:before="0" w:after="160"/>
        <w:jc w:val="left"/>
        <w:rPr>
          <w:rFonts w:ascii="Times New Roman" w:hAnsi="Times New Roman"/>
          <w:sz w:val="20"/>
        </w:rPr>
      </w:pPr>
      <w:r>
        <w:rPr>
          <w:rFonts w:ascii="Roboto;sans-serif" w:hAnsi="Roboto;sans-serif"/>
          <w:color w:val="000000"/>
          <w:sz w:val="22"/>
        </w:rPr>
        <w:t>Adjusted EBITDA</w:t>
      </w:r>
      <w:r>
        <w:rPr>
          <w:rFonts w:ascii="Roboto;sans-serif" w:hAnsi="Roboto;sans-serif"/>
          <w:color w:val="000000"/>
          <w:sz w:val="15"/>
        </w:rPr>
        <w:t>1</w:t>
      </w:r>
      <w:r>
        <w:rPr>
          <w:rFonts w:ascii="Times New Roman" w:hAnsi="Times New Roman"/>
          <w:color w:val="000000"/>
          <w:sz w:val="20"/>
        </w:rPr>
        <w:t xml:space="preserve"> </w:t>
      </w:r>
      <w:r>
        <w:rPr>
          <w:rFonts w:ascii="Roboto;sans-serif" w:hAnsi="Roboto;sans-serif"/>
          <w:color w:val="000000"/>
          <w:sz w:val="22"/>
        </w:rPr>
        <w:t>for the quarter was $10.1 million compared with $12.9 million in the prior-year period. Adjusted EBITDA margin of 7.3%, compared with 8.9% in the fiscal 2025 third quarter.</w:t>
      </w:r>
    </w:p>
    <w:p>
      <w:pPr>
        <w:pStyle w:val="TextBody"/>
        <w:bidi w:val="0"/>
        <w:spacing w:before="0" w:after="160"/>
        <w:jc w:val="left"/>
        <w:rPr>
          <w:rFonts w:ascii="Times New Roman" w:hAnsi="Times New Roman"/>
          <w:sz w:val="20"/>
        </w:rPr>
      </w:pPr>
      <w:r>
        <w:rPr>
          <w:rFonts w:ascii="Roboto;sans-serif" w:hAnsi="Roboto;sans-serif"/>
          <w:b/>
          <w:smallCaps/>
          <w:color w:val="000000"/>
          <w:sz w:val="24"/>
        </w:rPr>
        <w:t>Strong Balance Sheet</w:t>
      </w:r>
      <w:r>
        <w:rPr>
          <w:rFonts w:ascii="Times New Roman" w:hAnsi="Times New Roman"/>
          <w:smallCaps/>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Cash from operations in the third quarter of fiscal 2026 was $11.4 million, compared with</w:t>
        <w:br/>
        <w:t>$20.7 million in the prior-year period. Despite lower net income, cash from operations benefited from the collection of $5.0 million of VAT balances and $1.5 million in recovery of pre-production costs.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At March 29, 2026, Strattec had $107 million in cash and cash equivalents, up from</w:t>
        <w:br/>
        <w:t>$99.0 million at the end of the second quarter of fiscal 2026 and $84.6 million at the end of the prior fiscal year. Subsequent to end of the quarter, the Company replaced its existing joint venture credit facility with a new revolving credit facility which extended the maturity date.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b/>
          <w:smallCaps/>
          <w:color w:val="000000"/>
          <w:sz w:val="24"/>
        </w:rPr>
        <w:t>Third Quarter Fiscal Year 2026 Webcast and Conference Call</w:t>
      </w:r>
      <w:r>
        <w:rPr>
          <w:rFonts w:ascii="Times New Roman" w:hAnsi="Times New Roman"/>
          <w:smallCaps/>
          <w:color w:val="000000"/>
          <w:sz w:val="20"/>
        </w:rPr>
        <w:t xml:space="preserve"> </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Strattec will host a conference call and webcast tomorrow, Friday, May 8, 2026, at 8:00 am Central Time/9:00 am Eastern Time to review the financial and operating results for the period ended March 29, 2026, and provide an update on its transformation progress. A question-and-answer session will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3</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Times New Roman" w:hAnsi="Times New Roman"/>
          <w:sz w:val="20"/>
        </w:rPr>
      </w:pPr>
      <w:r>
        <w:rPr>
          <w:rFonts w:ascii="Roboto;sans-serif" w:hAnsi="Roboto;sans-serif"/>
          <w:color w:val="000000"/>
          <w:sz w:val="22"/>
        </w:rPr>
        <w:t>You can access the call by phoning +1 (201) 689-8470 or find the webcast and accompanying slide presentation at investors.strattec.com.</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A telephonic replay will be available from 12:00 p.m. ET on the day of the call through Thursday, May 21, 2026. To listen to the archived call, dial +1 (412) 317-6671 and enter replay PIN</w:t>
      </w:r>
      <w:r>
        <w:rPr>
          <w:rFonts w:ascii="Times New Roman" w:hAnsi="Times New Roman"/>
          <w:color w:val="000000"/>
          <w:sz w:val="20"/>
        </w:rPr>
        <w:t xml:space="preserve"> </w:t>
      </w:r>
      <w:r>
        <w:rPr>
          <w:rFonts w:ascii="Roboto;sans-serif" w:hAnsi="Roboto;sans-serif"/>
          <w:color w:val="000000"/>
          <w:sz w:val="22"/>
        </w:rPr>
        <w:t>13759857. The webcast replay will be available on the Investor Relations section of the Company’s website investors.strattec.com, where a transcript will be posted once available.</w:t>
      </w:r>
    </w:p>
    <w:p>
      <w:pPr>
        <w:pStyle w:val="TextBody"/>
        <w:bidi w:val="0"/>
        <w:spacing w:before="0" w:after="160"/>
        <w:jc w:val="left"/>
        <w:rPr>
          <w:rFonts w:ascii="Times New Roman" w:hAnsi="Times New Roman"/>
          <w:sz w:val="20"/>
        </w:rPr>
      </w:pPr>
      <w:r>
        <w:rPr>
          <w:rFonts w:ascii="Roboto;sans-serif" w:hAnsi="Roboto;sans-serif"/>
          <w:b/>
          <w:smallCaps/>
          <w:color w:val="000000"/>
          <w:sz w:val="24"/>
        </w:rPr>
        <w:t>About Strattec</w:t>
      </w:r>
      <w:r>
        <w:rPr>
          <w:rFonts w:ascii="Roboto;sans-serif" w:hAnsi="Roboto;sans-serif"/>
          <w:b/>
          <w:color w:val="000000"/>
          <w:sz w:val="22"/>
        </w:rPr>
        <w:br/>
      </w:r>
      <w:r>
        <w:rPr>
          <w:rFonts w:ascii="Roboto;sans-serif" w:hAnsi="Roboto;sans-serif"/>
          <w:color w:val="000000"/>
          <w:sz w:val="22"/>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noBreakHyphen/>
        <w:t>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w:t>
      </w:r>
    </w:p>
    <w:p>
      <w:pPr>
        <w:pStyle w:val="TextBody"/>
        <w:bidi w:val="0"/>
        <w:spacing w:before="0" w:after="160"/>
        <w:jc w:val="left"/>
        <w:rPr>
          <w:rFonts w:ascii="Times New Roman" w:hAnsi="Times New Roman"/>
          <w:sz w:val="20"/>
        </w:rPr>
      </w:pPr>
      <w:r>
        <w:rPr>
          <w:rFonts w:ascii="Roboto;sans-serif" w:hAnsi="Roboto;sans-serif"/>
          <w:color w:val="000000"/>
          <w:sz w:val="22"/>
        </w:rPr>
        <w:t>As access becomes increasingly intelligent, connected, and central to vehicle experience, Strattec’s strategy is to expand its market share, further diversify its customers and geographic reach while becoming the most trusted access partner to drive long</w:t>
        <w:noBreakHyphen/>
        <w:t xml:space="preserve">term growth across global automotive and mobility markets. For more information, visit </w:t>
      </w:r>
      <w:r>
        <w:rPr>
          <w:rFonts w:ascii="Roboto;sans-serif" w:hAnsi="Roboto;sans-serif"/>
          <w:sz w:val="22"/>
        </w:rPr>
        <w:t>www.strattec.com</w:t>
      </w:r>
      <w:r>
        <w:rPr>
          <w:rFonts w:ascii="Roboto;sans-serif" w:hAnsi="Roboto;sans-serif"/>
          <w:color w:val="000000"/>
          <w:sz w:val="22"/>
        </w:rPr>
        <w:t>.</w:t>
      </w:r>
    </w:p>
    <w:p>
      <w:pPr>
        <w:pStyle w:val="TextBody"/>
        <w:bidi w:val="0"/>
        <w:spacing w:before="0" w:after="160"/>
        <w:jc w:val="left"/>
        <w:rPr>
          <w:rFonts w:ascii="Roboto;sans-serif" w:hAnsi="Roboto;sans-serif"/>
          <w:b/>
          <w:smallCaps/>
          <w:color w:val="000000"/>
          <w:sz w:val="24"/>
        </w:rPr>
      </w:pPr>
      <w:r>
        <w:rPr>
          <w:rFonts w:ascii="Roboto;sans-serif" w:hAnsi="Roboto;sans-serif"/>
          <w:b/>
          <w:smallCaps/>
          <w:color w:val="000000"/>
          <w:sz w:val="24"/>
        </w:rPr>
        <w:t>Safe Harbor Statement</w:t>
      </w:r>
    </w:p>
    <w:p>
      <w:pPr>
        <w:pStyle w:val="TextBody"/>
        <w:bidi w:val="0"/>
        <w:spacing w:before="0" w:after="160"/>
        <w:jc w:val="left"/>
        <w:rPr>
          <w:rFonts w:ascii="Times New Roman" w:hAnsi="Times New Roman"/>
          <w:sz w:val="20"/>
        </w:rPr>
      </w:pPr>
      <w:r>
        <w:rPr>
          <w:rFonts w:ascii="Roboto;sans-serif" w:hAnsi="Roboto;sans-serif"/>
          <w:color w:val="000000"/>
          <w:sz w:val="22"/>
        </w:rPr>
        <w:t>Certain statements contained in this release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uncertainties stemming from U.S. trade policies, tariffs and reactions to the same from foreign countries, matters adversely impacting the timing and availability of component parts and raw materials needed for the production of the Company’s products and the products of its customers and fluctuations in costs of operation. Shareholders, potential investors and other readers are urged to consider these factors carefully in evaluating the forward-looking statements and are cautioned not to place undue reliance on such forward-looking statements. Such uncertainties and other operational matters are discussed further in the Company’s quarterly and annual filings with the Securities and Exchange Commission. The forward-looking statements made herein are only made as of the date of this press release and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4</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Times New Roman" w:hAnsi="Times New Roman"/>
          <w:sz w:val="20"/>
        </w:rPr>
      </w:pPr>
      <w:r>
        <w:rPr>
          <w:rFonts w:ascii="Roboto;sans-serif" w:hAnsi="Roboto;sans-serif"/>
          <w:color w:val="000000"/>
          <w:sz w:val="22"/>
        </w:rPr>
        <w:t>Company undertakes no obligation to publicly update such forward-looking statements to reflect subsequent events or circumstances occurring after the date of this release.</w:t>
      </w:r>
      <w:r>
        <w:rPr>
          <w:rFonts w:ascii="Times New Roman" w:hAnsi="Times New Roman"/>
          <w:color w:val="000000"/>
          <w:sz w:val="20"/>
        </w:rPr>
        <w:t xml:space="preserve"> </w:t>
      </w:r>
    </w:p>
    <w:p>
      <w:pPr>
        <w:pStyle w:val="TextBody"/>
        <w:bidi w:val="0"/>
        <w:spacing w:before="0" w:after="160"/>
        <w:jc w:val="left"/>
        <w:rPr>
          <w:rFonts w:ascii="Roboto;sans-serif" w:hAnsi="Roboto;sans-serif"/>
          <w:b/>
          <w:smallCaps/>
          <w:color w:val="000000"/>
          <w:sz w:val="24"/>
        </w:rPr>
      </w:pPr>
      <w:r>
        <w:rPr>
          <w:rFonts w:ascii="Roboto;sans-serif" w:hAnsi="Roboto;sans-serif"/>
          <w:b/>
          <w:smallCaps/>
          <w:color w:val="000000"/>
          <w:sz w:val="24"/>
        </w:rPr>
        <w:t>Use of Non-Gaap Financial Metrics and Additional Financial Information</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In addition to reporting financial results in accordance with generally accepted accounting principles, or GAAP, Strattec provides Adjusted Non-GAAP information as additional information for its operating results. References to Adjusted Non-GAAP information are to non-GAAP financial measures. These measures are not required by, in accordance with, or an alternative for, GAAP and may be different from similarly titled non-GAAP financial measures used by other companies. Strattec’s management uses these measures to make strategic decisions, establish budget plans and forecasts, identify trends affecting Strattec’s business, and evaluate performance. Management believes that providing these non-GAAP financial measures to investors, as a supplement to GAAP financial measures, will help investors evaluate Strattec’s core operating and financial performance and business trends consistent with how management evaluates such performance and trends. Investors are encouraged to review the related GAAP financial measures and the reconciliation of these non-GAAP financial measures to their most directly comparable GAAP financial measures.</w:t>
      </w:r>
    </w:p>
    <w:p>
      <w:pPr>
        <w:pStyle w:val="TextBody"/>
        <w:bidi w:val="0"/>
        <w:spacing w:before="0" w:after="160"/>
        <w:jc w:val="center"/>
        <w:rPr>
          <w:rFonts w:ascii="Roboto;sans-serif" w:hAnsi="Roboto;sans-serif"/>
          <w:color w:val="000000"/>
          <w:sz w:val="22"/>
        </w:rPr>
      </w:pPr>
      <w:r>
        <w:rPr>
          <w:rFonts w:ascii="Roboto;sans-serif" w:hAnsi="Roboto;sans-serif"/>
          <w:color w:val="000000"/>
          <w:sz w:val="22"/>
        </w:rPr>
        <w:t>###</w:t>
      </w:r>
    </w:p>
    <w:p>
      <w:pPr>
        <w:pStyle w:val="TextBody"/>
        <w:bidi w:val="0"/>
        <w:spacing w:before="0" w:after="160"/>
        <w:jc w:val="center"/>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before="0" w:after="160"/>
              <w:jc w:val="left"/>
              <w:rPr>
                <w:rFonts w:ascii="Roboto;sans-serif" w:hAnsi="Roboto;sans-serif"/>
                <w:b/>
                <w:color w:val="000000"/>
                <w:sz w:val="22"/>
              </w:rPr>
            </w:pPr>
            <w:r>
              <w:rPr>
                <w:rFonts w:ascii="Roboto;sans-serif" w:hAnsi="Roboto;sans-serif"/>
                <w:b/>
                <w:color w:val="000000"/>
                <w:sz w:val="22"/>
              </w:rPr>
              <w:t>Investor Contact:</w:t>
            </w:r>
          </w:p>
        </w:tc>
      </w:tr>
      <w:tr>
        <w:trPr/>
        <w:tc>
          <w:tcPr>
            <w:tcW w:w="481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Roboto;sans-serif" w:hAnsi="Roboto;sans-serif"/>
                <w:color w:val="000000"/>
                <w:sz w:val="22"/>
              </w:rPr>
              <w:t>Deborah K. Pawlowski, IRC</w:t>
              <w:br/>
              <w:t>Alliance Advisors IR</w:t>
              <w:br/>
              <w:t>Phone: 716-843-3908</w:t>
              <w:br/>
              <w:t xml:space="preserve">Email: </w:t>
            </w:r>
            <w:r>
              <w:rPr>
                <w:rFonts w:ascii="Roboto;sans-serif" w:hAnsi="Roboto;sans-serif"/>
                <w:sz w:val="22"/>
              </w:rPr>
              <w:t>dpawlowski@allianceadvisors.com</w:t>
            </w:r>
          </w:p>
        </w:tc>
      </w:tr>
    </w:tbl>
    <w:p>
      <w:pPr>
        <w:pStyle w:val="TextBody"/>
        <w:bidi w:val="0"/>
        <w:spacing w:before="0" w:after="16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5</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3600"/>
        <w:gridCol w:w="241"/>
        <w:gridCol w:w="991"/>
        <w:gridCol w:w="271"/>
        <w:gridCol w:w="146"/>
        <w:gridCol w:w="241"/>
        <w:gridCol w:w="991"/>
        <w:gridCol w:w="271"/>
        <w:gridCol w:w="146"/>
        <w:gridCol w:w="241"/>
        <w:gridCol w:w="991"/>
        <w:gridCol w:w="271"/>
        <w:gridCol w:w="146"/>
        <w:gridCol w:w="241"/>
        <w:gridCol w:w="991"/>
        <w:gridCol w:w="426"/>
      </w:tblGrid>
      <w:tr>
        <w:trPr/>
        <w:tc>
          <w:tcPr>
            <w:tcW w:w="3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64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STRATTEC SECURITY CORPORATION</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STATEMENTS OF INCOME (UNAUDITED)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amounts)</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Nine Months Ended</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29,</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29,</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30,</w:t>
              <w:b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sales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137,632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144,082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427,565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413,053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Cost of goods sold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114,971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120,977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355,848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353,876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Gross profit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22,661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23,105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71,717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59,177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i/>
                <w:color w:val="000000"/>
                <w:sz w:val="18"/>
              </w:rPr>
            </w:pPr>
            <w:r>
              <w:rPr>
                <w:rFonts w:ascii="Roboto;sans-serif" w:hAnsi="Roboto;sans-serif"/>
                <w:i/>
                <w:color w:val="000000"/>
                <w:sz w:val="18"/>
              </w:rPr>
              <w:t>Gross margin</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14.3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Selling, administrative and engineering expenses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17,615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16,020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51,362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44,895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Income from operations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5,046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7,085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20,355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14,282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i/>
                <w:color w:val="000000"/>
                <w:sz w:val="18"/>
              </w:rPr>
            </w:pPr>
            <w:r>
              <w:rPr>
                <w:rFonts w:ascii="Roboto;sans-serif" w:hAnsi="Roboto;sans-serif"/>
                <w:i/>
                <w:color w:val="000000"/>
                <w:sz w:val="18"/>
              </w:rPr>
              <w:t>Operating margin</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3.5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Interest income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1,286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Interest expense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(795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Other (expense) income, net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(369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 xml:space="preserve">Income before provision for income taxes and </w:t>
              <w:br/>
              <w:t>non-controlling interest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7,355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23,342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14,404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Income tax expense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5,337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3,547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Net income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3,825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5,711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18,005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10,857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Net income attributable to non-controlling interest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439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Net income attributable to Strattec</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3,240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5,396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16,716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10,418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Earnings per share attributable to Strattec</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Basic</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0.79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Diluted</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0.78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Weighted average shares outstanding:</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4,026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Diluted</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4,067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6</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6788"/>
        <w:gridCol w:w="241"/>
        <w:gridCol w:w="991"/>
        <w:gridCol w:w="181"/>
        <w:gridCol w:w="146"/>
        <w:gridCol w:w="241"/>
        <w:gridCol w:w="991"/>
        <w:gridCol w:w="626"/>
      </w:tblGrid>
      <w:tr>
        <w:trPr/>
        <w:tc>
          <w:tcPr>
            <w:tcW w:w="6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9579"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STRATTEC SECURITY CORPORATION</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9"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BALANCE SHEETS (UNAUDITED)</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9"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share amounts)</w:t>
            </w:r>
          </w:p>
        </w:tc>
        <w:tc>
          <w:tcPr>
            <w:tcW w:w="6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29,</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ASSETS</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Cash and cash equivalents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106,957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Receivables, net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102,164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102,061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Inventories, net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73,401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64,701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Pre-production costs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8,657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Value-added tax recoverable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9,935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19,389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current assets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6,396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10,676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current assets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304,157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290,063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Property, plant and equipment, net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71,400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77,410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Deferred income taxes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19,531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long-term assets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4,296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4,450</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Assets</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399,547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391,454</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LIABILITIES AND SHAREHOLDERS’ EQUITY</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Accounts payable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65,824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Accrued payroll and benefits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18,074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22,956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Value-added tax payable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7,905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11,933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Warranty reserve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8,603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8,900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Current portion of borrowings under credit facilities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current liabilities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15,522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9,737</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current liabilities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115,846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119,350</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Noncurrent portion of borrowings under credit facilities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8,000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Post-employment benefits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12,774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13,325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noncurrent liabilities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3,774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4,348</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Liabilities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132,394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145,023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Shareholders’ Equity:</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Common stock, authorized 18,000,000 shares, $.01 par value, 7,701,768 issued shares at March 29, 2026 and 7,635,883 issued shares at June 29, 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Capital in excess of par value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106,425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103,784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Retained earnings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286,013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269,297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Accumulated other comprehensive loss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(15,209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(16,113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Less: treasury stock, at cost (3,616,086 shares at March 29, 2026 and 3,596,549 shares at June 29,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(136,795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(135,452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Roboto;sans-serif" w:hAnsi="Roboto;sans-serif"/>
                <w:color w:val="000000"/>
                <w:sz w:val="20"/>
              </w:rPr>
            </w:pPr>
            <w:r>
              <w:rPr>
                <w:rFonts w:ascii="Roboto;sans-serif" w:hAnsi="Roboto;sans-serif"/>
                <w:color w:val="000000"/>
                <w:sz w:val="20"/>
              </w:rPr>
              <w:t>)</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Strattec shareholders’ equity</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240,511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221,592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Non-controlling interest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26,642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24,839</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Shareholders' Equity</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267,153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246,431</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399,547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391,454</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7</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3839"/>
        <w:gridCol w:w="231"/>
        <w:gridCol w:w="907"/>
        <w:gridCol w:w="196"/>
        <w:gridCol w:w="146"/>
        <w:gridCol w:w="233"/>
        <w:gridCol w:w="884"/>
        <w:gridCol w:w="196"/>
        <w:gridCol w:w="146"/>
        <w:gridCol w:w="231"/>
        <w:gridCol w:w="907"/>
        <w:gridCol w:w="196"/>
        <w:gridCol w:w="146"/>
        <w:gridCol w:w="233"/>
        <w:gridCol w:w="884"/>
        <w:gridCol w:w="830"/>
      </w:tblGrid>
      <w:tr>
        <w:trPr/>
        <w:tc>
          <w:tcPr>
            <w:tcW w:w="38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643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STRATTEC SECURITY CORPORATION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STATEMENTS OF CASH FLOWS (UNAUDITED)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Three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Nine Months Ended</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29,</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30,</w:t>
              <w:b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29,</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March 30,</w:t>
              <w:br/>
              <w:t>2025</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OPERATING ACTIVITIES:</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Net income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3,825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5,711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18,005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10,857</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Adjustments to reconcile net income to net cash provided by operating activities:</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Depreciation</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3,772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3,746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11,450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10,952</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Foreign currency transaction loss (gain)</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(1,052</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Stock-based compensation expense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1,839</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Unrealized (gain) loss on peso forward contracts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3,182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231</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Other, net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1,077</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Change in operating assets and liabilities</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Roboto;sans-serif" w:hAnsi="Roboto;sans-serif"/>
                <w:color w:val="000000"/>
                <w:sz w:val="20"/>
              </w:rPr>
            </w:pPr>
            <w:r>
              <w:rPr>
                <w:rFonts w:ascii="Roboto;sans-serif" w:hAnsi="Roboto;sans-serif"/>
                <w:color w:val="000000"/>
                <w:sz w:val="20"/>
              </w:rPr>
              <w:t>Receivables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(17,616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(10,237</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Roboto;sans-serif" w:hAnsi="Roboto;sans-serif"/>
                <w:color w:val="000000"/>
                <w:sz w:val="20"/>
              </w:rPr>
            </w:pPr>
            <w:r>
              <w:rPr>
                <w:rFonts w:ascii="Roboto;sans-serif" w:hAnsi="Roboto;sans-serif"/>
                <w:color w:val="000000"/>
                <w:sz w:val="20"/>
              </w:rPr>
              <w:t>Inventories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5,920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(8,700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6,058</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Roboto;sans-serif" w:hAnsi="Roboto;sans-serif"/>
                <w:color w:val="000000"/>
                <w:sz w:val="20"/>
              </w:rPr>
            </w:pPr>
            <w:r>
              <w:rPr>
                <w:rFonts w:ascii="Roboto;sans-serif" w:hAnsi="Roboto;sans-serif"/>
                <w:color w:val="000000"/>
                <w:sz w:val="20"/>
              </w:rPr>
              <w:t>Prepaids and other assets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5,333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11,982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5,994</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Roboto;sans-serif" w:hAnsi="Roboto;sans-serif"/>
                <w:color w:val="000000"/>
                <w:sz w:val="20"/>
              </w:rPr>
            </w:pPr>
            <w:r>
              <w:rPr>
                <w:rFonts w:ascii="Roboto;sans-serif" w:hAnsi="Roboto;sans-serif"/>
                <w:color w:val="000000"/>
                <w:sz w:val="20"/>
              </w:rPr>
              <w:t>Accounts payable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5,428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20,720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16,730</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Roboto;sans-serif" w:hAnsi="Roboto;sans-serif"/>
                <w:color w:val="000000"/>
                <w:sz w:val="20"/>
              </w:rPr>
            </w:pPr>
            <w:r>
              <w:rPr>
                <w:rFonts w:ascii="Roboto;sans-serif" w:hAnsi="Roboto;sans-serif"/>
                <w:color w:val="000000"/>
                <w:sz w:val="20"/>
              </w:rPr>
              <w:t>Accrued liabilities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3,632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(948</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Net cash provided by operating activities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11,441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20,720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36,650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41,501</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INVESTING ACTIVITIES:</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Purchase of property, plant and equipment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(5,913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(4,160</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Proceeds from sale of property, plant and equipment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Net cash used in investing activities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(1,752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(4,160</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FINANCING ACTIVITIES:</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Borrowings under credit facilities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3,000</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Repayment of borrowings under credit facilities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(3,000</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Payment for debt issuance costs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Payment for taxes withheld from stock-based awards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Share issuances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44</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b/>
                <w:color w:val="000000"/>
                <w:sz w:val="20"/>
              </w:rPr>
            </w:pPr>
            <w:r>
              <w:rPr>
                <w:rFonts w:ascii="Roboto;sans-serif" w:hAnsi="Roboto;sans-serif"/>
                <w:b/>
                <w:color w:val="000000"/>
                <w:sz w:val="20"/>
              </w:rPr>
              <w:t>Net cash (used in) provided by financing activities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(1,563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(8,404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44</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Foreign currency impact on cash</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(689</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INCREASE IN CASH AND CASH EQUIVALENTS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7,930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19,481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22,378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36,696</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CASH AND CASH EQUIVALENTS</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Beginning of period</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99,027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42,625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25,410</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End of period</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106,957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62,106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106,957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62,106</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SUPPLEMENTAL DISCLOSURE OF CASH FLOW INFORMATION:</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8</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006" w:type="dxa"/>
        <w:jc w:val="left"/>
        <w:tblInd w:w="0" w:type="dxa"/>
        <w:tblLayout w:type="fixed"/>
        <w:tblCellMar>
          <w:top w:w="28" w:type="dxa"/>
          <w:left w:w="28" w:type="dxa"/>
          <w:bottom w:w="28" w:type="dxa"/>
          <w:right w:w="28" w:type="dxa"/>
        </w:tblCellMar>
      </w:tblPr>
      <w:tblGrid>
        <w:gridCol w:w="5361"/>
        <w:gridCol w:w="226"/>
        <w:gridCol w:w="466"/>
        <w:gridCol w:w="181"/>
        <w:gridCol w:w="146"/>
        <w:gridCol w:w="226"/>
        <w:gridCol w:w="646"/>
        <w:gridCol w:w="146"/>
        <w:gridCol w:w="146"/>
        <w:gridCol w:w="226"/>
        <w:gridCol w:w="646"/>
        <w:gridCol w:w="181"/>
        <w:gridCol w:w="146"/>
        <w:gridCol w:w="226"/>
        <w:gridCol w:w="646"/>
        <w:gridCol w:w="391"/>
      </w:tblGrid>
      <w:tr>
        <w:trPr/>
        <w:tc>
          <w:tcPr>
            <w:tcW w:w="5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Cash paid during the period for:</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9,135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Interest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Non-cash investing activities: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Change in capital expenditures in accounts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9</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4808" w:type="dxa"/>
        <w:jc w:val="left"/>
        <w:tblInd w:w="0" w:type="dxa"/>
        <w:tblLayout w:type="fixed"/>
        <w:tblCellMar>
          <w:top w:w="28" w:type="dxa"/>
          <w:left w:w="28" w:type="dxa"/>
          <w:bottom w:w="28" w:type="dxa"/>
          <w:right w:w="28" w:type="dxa"/>
        </w:tblCellMar>
      </w:tblPr>
      <w:tblGrid>
        <w:gridCol w:w="1486"/>
        <w:gridCol w:w="146"/>
        <w:gridCol w:w="226"/>
        <w:gridCol w:w="886"/>
        <w:gridCol w:w="271"/>
        <w:gridCol w:w="226"/>
        <w:gridCol w:w="886"/>
        <w:gridCol w:w="271"/>
        <w:gridCol w:w="226"/>
        <w:gridCol w:w="886"/>
        <w:gridCol w:w="271"/>
        <w:gridCol w:w="226"/>
        <w:gridCol w:w="886"/>
        <w:gridCol w:w="271"/>
        <w:gridCol w:w="226"/>
        <w:gridCol w:w="886"/>
        <w:gridCol w:w="271"/>
        <w:gridCol w:w="146"/>
        <w:gridCol w:w="226"/>
        <w:gridCol w:w="886"/>
        <w:gridCol w:w="271"/>
        <w:gridCol w:w="226"/>
        <w:gridCol w:w="886"/>
        <w:gridCol w:w="271"/>
        <w:gridCol w:w="226"/>
        <w:gridCol w:w="886"/>
        <w:gridCol w:w="271"/>
        <w:gridCol w:w="226"/>
        <w:gridCol w:w="166"/>
        <w:gridCol w:w="146"/>
        <w:gridCol w:w="226"/>
        <w:gridCol w:w="886"/>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Strattec Security Corporation</w:t>
              <w:br/>
              <w:t>Reconciliation of GAAP to Non-GAAP Financial Measures</w:t>
            </w:r>
            <w:r>
              <w:rPr>
                <w:rFonts w:ascii="Arial" w:hAnsi="Arial"/>
                <w:color w:val="000000"/>
                <w:sz w:val="20"/>
              </w:rPr>
              <w:br/>
            </w:r>
            <w:r>
              <w:rPr>
                <w:rFonts w:ascii="Arial" w:hAnsi="Arial"/>
                <w:i/>
                <w:color w:val="000000"/>
                <w:sz w:val="20"/>
              </w:rPr>
              <w:t>(In thousands, except per share amounts)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Fiscal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Fiscal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8"/>
              </w:rPr>
            </w:pPr>
            <w:r>
              <w:rPr>
                <w:rFonts w:ascii="Roboto;sans-serif" w:hAnsi="Roboto;sans-serif"/>
                <w:b/>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139,052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129,919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144,082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152,013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565,066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152,399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137,534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137,632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427,565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8"/>
              </w:rPr>
            </w:pPr>
            <w:r>
              <w:rPr>
                <w:rFonts w:ascii="Roboto;sans-serif" w:hAnsi="Roboto;sans-serif"/>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Net income attributable to Strattec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5,396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8,267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18,685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8,529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3,240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16,716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2,356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5,337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(2,641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8,502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22,784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10,447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4,862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5,046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20,355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3,662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3,812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14,764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11,450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2,726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2,605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Restructuring and similar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1,729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Retroactive FY23 one-time pricing recovery,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Cancelled program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Executive transition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Business transformation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2,468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4,865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5,836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5,788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4,485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20,974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5,104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7,405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5,067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17,576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Adjusted EBITDA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9,928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7,970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12,873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12,987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43,758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15,551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12,267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10,113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37,931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Adjusted EBITDA as a % of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 xml:space="preserve">For Third Quarter Fiscal 2026, Strattec Continued to Advance Transformation Efforts to Strengthen Business Performance </w:t>
        <w:br/>
        <w:t>May 7, 2026</w:t>
        <w:br/>
        <w:t>Page 10</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2168" w:type="dxa"/>
        <w:jc w:val="left"/>
        <w:tblInd w:w="0" w:type="dxa"/>
        <w:tblLayout w:type="fixed"/>
        <w:tblCellMar>
          <w:top w:w="28" w:type="dxa"/>
          <w:left w:w="28" w:type="dxa"/>
          <w:bottom w:w="28" w:type="dxa"/>
          <w:right w:w="28" w:type="dxa"/>
        </w:tblCellMar>
      </w:tblPr>
      <w:tblGrid>
        <w:gridCol w:w="1501"/>
        <w:gridCol w:w="146"/>
        <w:gridCol w:w="226"/>
        <w:gridCol w:w="646"/>
        <w:gridCol w:w="181"/>
        <w:gridCol w:w="226"/>
        <w:gridCol w:w="646"/>
        <w:gridCol w:w="181"/>
        <w:gridCol w:w="226"/>
        <w:gridCol w:w="646"/>
        <w:gridCol w:w="181"/>
        <w:gridCol w:w="226"/>
        <w:gridCol w:w="646"/>
        <w:gridCol w:w="181"/>
        <w:gridCol w:w="226"/>
        <w:gridCol w:w="766"/>
        <w:gridCol w:w="181"/>
        <w:gridCol w:w="146"/>
        <w:gridCol w:w="226"/>
        <w:gridCol w:w="646"/>
        <w:gridCol w:w="181"/>
        <w:gridCol w:w="226"/>
        <w:gridCol w:w="646"/>
        <w:gridCol w:w="181"/>
        <w:gridCol w:w="226"/>
        <w:gridCol w:w="721"/>
        <w:gridCol w:w="181"/>
        <w:gridCol w:w="226"/>
        <w:gridCol w:w="166"/>
        <w:gridCol w:w="146"/>
        <w:gridCol w:w="226"/>
        <w:gridCol w:w="766"/>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8"/>
              </w:rPr>
            </w:pPr>
            <w:r>
              <w:rPr>
                <w:rFonts w:ascii="Roboto;sans-serif" w:hAnsi="Roboto;sans-serif"/>
                <w:b/>
                <w:color w:val="000000"/>
                <w:sz w:val="18"/>
              </w:rPr>
              <w:t xml:space="preserve">ADJUSTED NET INCOME AND </w:t>
              <w:br/>
              <w:t>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Net income attributable to Strattec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5,396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18,685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8,529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4,947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3,240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16,716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Restructuring and similar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2,307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Cancelled program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2,778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Business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2,468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Non-controlling interest impact on above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Tax effect on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(857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1,006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3,258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484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3,227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Adjusted Net Income attributable to Strattec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4,709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2,640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6,142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8,452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21,943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9,170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7,049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3,724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19,943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Weighted Average Basic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Diluted earnings per share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0.92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0.32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0.78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Adjusted dilutive earnings per share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0.65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0.90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strt-ex99_2.htm"/>
      <w:bookmarkStart w:id="5" w:name="ksstrt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Nasdaq: STRT Jennifer Slater ?President and CEO Matthew Pauli ?Senior Vice President and CFO May 8, 2026 Q3 FY2026 Financial Results?Conference Call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Statement?Certain statements contained in this presentation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the impact of U.S. trade policies, tariffs and reactions to the same from foreign countries on costs and customer demand, matters adversely impacting the timing and availability of component parts and raw materials needed for the production of our products and the products of our customers and fluctuations in our costs of operation. 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press presentation and the Company undertakes no obligation to publicly update such forward-looking statements to reflect subsequent events or circumstances occurring after the date of this presentation. In addition, such uncertainties and other operational matters are discussed further in the Company’s quarterly and annual filings with the Securities and Exchange Commission. Use of Non-GAAP Financial Metrics and Additional Financial Information?In addition to reporting financial results in accordance with generally accepted accounting principles, or GAAP, Strattec provides Adjusted Non-GAAP information as additional information for its operating results. References to Adjusted Non-GAAP information are to non-GAAP financial measures.  These measures are not required by, in accordance with, or an alternative for, GAAP and may be different from similarly titled non-GAAP financial measures used by other companies. Strattec’s management uses these measures to make strategic decisions, establish budget plans and forecasts, identify trends affecting Strattec’s business, and evaluate performance. Management believes that providing these non-GAAP financial measures to investors, as a supplement to GAAP financial measures, will help investors evaluate Strattec’s core operating and financial performance and business trends consistent with how management evaluates such performance and trends.  Investors are encouraged to review the related GAAP financial measures and the reconciliation of these non-GAAP financial measures to their most directly comparable GAAP financial measures. The Company has provided reconciliations of comparable GAAP to non-GAAP measures in the supplemental slides of this presentation. MAY 8, 2026 Nasdaq: STRT Q3 FY2026 FINANCIAL RESULTS Safe Harbor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MAY 8, 2026 Nasdaq: STRT Q3 FY2026 FINANCIAL RESULTS Advancing Transformation Realized $1.9 million in savings in the quarter – peak savings given timing of restructuring actions Strong Operational Cash Flow Generated $11.4 million in Q3 FY26 and $36.6 million year to date Ended the quarter with $107.0 million in cash on hand Revenue Decline in Line with Expectations Q3 FY26 revenue was $137.6 million compared with $144.1 last year Primarily driven by lower volume including customer cancelled EV programs Improved Profitability Gross margin expanded despite lower sales and FX headwinds Benefited from $1.7 million restructuring savings and $0.6 million in recoveries for cancelled programs Strattec ?Q3 FY2026??Quarter &amp; Fiscal Year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MAY 8, 2026 Nasdaq: STRT Q3 FY2026 FINANCIAL RESULTS Transforming Strattec: Building a Better Business Execute Plan to Deliver Value Additional changes in Mexico operations to provide $0.8 million in annualized savings beginning in Q4 FY26 Organization still on a steep learning curve Significant efforts to stabilize supply chain Beginning to imbed new processes for improved predictability Customer Centric Strategy &amp; Talent Getting in front of customers to listen, learn and adapt Continued talent refreshment to ignite ideas and improve communications and execution Refine and Enhance Product Portfolio Actively engaged on proposals for 2029 model years and beyond Early stages of developing relationships with other North American vehicle manufacturers $107.0 million cash balance and debt (JV) reduced to $1.0 million; since entered into new lending agreement Liquidity enables transformation and organic growth, provides cushion for industry dynamics and enables M&amp;A strategy ($ in millions)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Nasdaq: STRT MAY 8, 2026 Q3 FY2026 FINANCIAL RESULTS Established Customers &amp; Diverse Products ($ in millions) Q3 FY26 net sales ?down $6.5 million, or 4.5% 0.5% of pricing benefits 0.4% tariff recoveries 2.4% EV program cancellations 3.0% volume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Nasdaq: STRT Q3 FY26 gross margin expanded 50 basis points y/y $0.6 million in recoveries from cancelled programs $1.7 million in restructuring savings $2.5 million FX headwind $0.5 million in higher labor and benefit costs $0.3 million of incremental tariff costs YTD gross margin expanded 250 basis points $10.3 million in pricing, including tariff recoveries, and higher production volume $4.6 million in restructuring savings $1.5 million in higher labor costs in Mexico $4.6 million FX headwind Gross Margin Expansion MAY 8, 2026 Q3 FY2026 FINANCIAL RESULTS ($ in millions) 16.5% 16.0% 16.8% 14.3%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Nasdaq: STRT Q3 FY26 SAE expenses increased $1.6 million y/y to 12.8% of sales $1.3 million increase in salaries and benefits $0.4 million increase in professional fees Q3FY 26 included $1.2 million in business transformation and executive transition costs, a $0.7 million increase y/y Partially offset by $0.2 million restructuring savings and $0.7 million recovery of costs related to cancelled EV programs YTD SAE expenses increased $6.5 million to 12.0% of sales $3.0 million increase in salaries and benefits $1.0 million increase in professional fees $1.1 million incremental business transformation, restructuring and executive transition costs y/y Partially offset by $0.3 million restructuring savings and $0.7 million recovery of costs related to cancelled EV programs Managing SAE(1) &amp; Investing in Talent MAY 8, 2026 Q3 FY2026 FINANCIAL RESULTS ($ in millions) (1) Selling, administrative and engineering expenses 12.8% 11.1% 12.0% 10.9%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 NET INCOME2 (QTR &amp; YTD) ADJ. EBITDA2 ?(QTR &amp; YTD) NET INCOME1?(QTR &amp; YTD) Enhanced Earnings Power Nasdaq: STRT Q3 FY2026 FINANCIAL RESULTS 1 Net Income Attributable to Strattec?2 Adjusted Net Income Attributable to Strattec, Adjusted Diluted Earnings per Share, Adjusted EBITDA and Adjusted EBITDA margin are non-GAAP metrics. Refer to the reconciliation of GAAP to non-GAAP metrics in the supplemental tables of this presentation. Lower net income in the quarter resulting from unfavorable impact of changes in FX FX had total impact of $(0.16) Adj. diluted EPS(2) impacted by FX YTD growth in adjusted net income reflects cost reductions and productivity improvements Adj. EBITDA margin(2) contracted in quarter due to changes in FX YTD adjusted EBITDA increased 23% MAY 8, 2026 ($ in millions except earnings per share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Cash Generation &amp; Capital Flexibility ($ in millions) (1) Free cash flow is a non-GAAP metric defined as cash flow from operations less capital expenditures (CapEx) Q3 FY26 FINANCIAL RESULTS Nasdaq: STRT Lower cash from operations reflects changes in working capital requirements Cash balance continues to grow from strong operating performance Total debt reduced to $1.0 million JV entered into new lending agreement April 30, 2026 Capital priorities: Strong balance sheet supports strategy Support organic growth and new customer programs Continue investing in automation and process modernization Preserve flexibility amid cyclical industry conditions Develop M&amp;A strategy March 29, 2026 June 29, 2025 Cash and cash equivalents $ 107.0 $ 84.6 Total debt 1.0 8.0 Shareholders’ equity 267.2 246.4 Total capitalization $ 268.2 $ 254.4 Debt / total capitalization 0.3% 3.1% CAPITALIZATION Q3 ?FY 2026 Q23?FY 2025 YTD?FY 2026 YTD?FY 2025 Cash from operations $ 11.4 $ 20.7 $ 36.6 $ 41.5 CapEX (2.6) (1.2) (5.9) (4.2) Free cash flow (FCF)(1) $ 8.8 $ 19.5 $ 30.7 $ 37.3 CASH FLOW MAY 8,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of May 7, 2026) Nasdaq: STRT Revenue Near-term sales expected to be consistent with NA auto production volumes Expect Q4 FY26 revenue to be down 3% to 4% y/y reflecting EV cancellations and lower production of key programs Gross Margin Continuing to target 18% to 20% margins over next few years (assumes average 5 year peso). Achieved 16%+ range excluding unusual items. SAE Expect to continue to run at 10% to 11% of revenue excluding unusual items Continued investment over near-term to support transformation Cash generation Expect normalized run rate ~$10 million +/- per quarter OUTLOOK: Expect Continued Improvement in Operations Against Moderating Market Demand and Challenge of Future Project Wins MAY 8, 2026 Q3 FY2026 FINANCIAL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PREMISSION, MOTION &amp; HOLD Our Vision : To be the most trusted, global leader in safe and secure access solutions for the automotive and mobility industries by creating the ultimate access experience for consumers. WE ENGINEER THE ACCESS EXPERIENCE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Q3 FY2026 Financial Results Supplemental Slides www.strattec.com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Nasdaq: STRT Reconciliation of GAAP to Non-GAAP Financial Measures ($ in thousands) MAY 8, 2026 Q3 FY2026 FINANCIAL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Nasdaq: STRT Reconciliation of GAAP to Non-GAAP Financial Measures ($ in thousands, except per share data) MAY 8, 2026 Q3 FY2026 FINANCIAL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Strattec: The Access Engine Investor Relations Contact: Deborah K. Pawlowski, Alliance Advisors IR?716-843-3908 dpawlowski@allianceadvisors.com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5387</Words>
  <Characters>29856</Characters>
  <CharactersWithSpaces>36061</CharactersWithSpaces>
  <Paragraphs>2863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