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trt-20260825.htm"/>
      <w:bookmarkStart w:id="1" w:name="ksstrt20260825"/>
      <w:bookmarkEnd w:id="0"/>
      <w:bookmarkEnd w:id="1"/>
      <w:r>
        <w:drawing>
          <wp:anchor behindDoc="0" distT="0" distB="0" distL="0" distR="0" simplePos="0" locked="0" layoutInCell="1" allowOverlap="1" relativeHeight="2">
            <wp:simplePos x="0" y="0"/>
            <wp:positionH relativeFrom="page">
              <wp:posOffset>914400</wp:posOffset>
            </wp:positionH>
            <wp:positionV relativeFrom="page">
              <wp:posOffset>91440</wp:posOffset>
            </wp:positionV>
            <wp:extent cx="2359025" cy="539750"/>
            <wp:effectExtent l="0" t="0" r="0" b="0"/>
            <wp:wrapNone/>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59025" cy="539750"/>
                    </a:xfrm>
                    <a:prstGeom prst="rect">
                      <a:avLst/>
                    </a:prstGeom>
                  </pic:spPr>
                </pic:pic>
              </a:graphicData>
            </a:graphic>
          </wp:anchor>
        </w:drawing>
      </w:r>
      <w:r>
        <w:rPr/>
        <w:t> </w:t>
      </w:r>
    </w:p>
    <w:p>
      <w:pPr>
        <w:pStyle w:val="TextBody"/>
        <w:bidi w:val="0"/>
        <w:spacing w:before="88"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2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264"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w:t>
      </w:r>
    </w:p>
    <w:p>
      <w:pPr>
        <w:pStyle w:val="TextBody"/>
        <w:bidi w:val="0"/>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spacing w:before="264" w:after="283"/>
        <w:jc w:val="center"/>
        <w:rPr>
          <w:rFonts w:ascii="Times New Roman" w:hAnsi="Times New Roman"/>
          <w:b/>
          <w:color w:val="000000"/>
          <w:sz w:val="24"/>
        </w:rPr>
      </w:pPr>
      <w:r>
        <w:rPr>
          <w:rFonts w:ascii="Times New Roman" w:hAnsi="Times New Roman"/>
          <w:b/>
          <w:color w:val="000000"/>
          <w:sz w:val="24"/>
        </w:rPr>
        <w:t>Date of report (Date of earliest event reported): August 25, 2026</w:t>
      </w:r>
    </w:p>
    <w:p>
      <w:pPr>
        <w:pStyle w:val="TextBody"/>
        <w:bidi w:val="0"/>
        <w:jc w:val="center"/>
        <w:rPr>
          <w:rFonts w:ascii="Times New Roman" w:hAnsi="Times New Roman"/>
          <w:b/>
          <w:color w:val="000000"/>
          <w:sz w:val="44"/>
        </w:rPr>
      </w:pPr>
      <w:r>
        <w:rPr>
          <w:rFonts w:ascii="Times New Roman" w:hAnsi="Times New Roman"/>
          <w:b/>
          <w:color w:val="000000"/>
          <w:sz w:val="44"/>
        </w:rPr>
        <w:t>STRATTEC SECURITY CORPORATION</w:t>
      </w:r>
    </w:p>
    <w:p>
      <w:pPr>
        <w:pStyle w:val="TextBody"/>
        <w:bidi w:val="0"/>
        <w:jc w:val="center"/>
        <w:rPr>
          <w:rFonts w:ascii="Times New Roman" w:hAnsi="Times New Roman"/>
          <w:color w:val="000000"/>
          <w:sz w:val="20"/>
        </w:rPr>
      </w:pPr>
      <w:r>
        <w:rPr>
          <w:rFonts w:ascii="Times New Roman" w:hAnsi="Times New Roman"/>
          <w:color w:val="000000"/>
          <w:sz w:val="20"/>
        </w:rPr>
        <w:t xml:space="preserve">(Exact Name of Registrant as Specified in Charter) </w:t>
      </w:r>
    </w:p>
    <w:tbl>
      <w:tblPr>
        <w:tblW w:w="4676" w:type="dxa"/>
        <w:jc w:val="left"/>
        <w:tblInd w:w="0" w:type="dxa"/>
        <w:tblLayout w:type="fixed"/>
        <w:tblCellMar>
          <w:top w:w="28" w:type="dxa"/>
          <w:left w:w="28" w:type="dxa"/>
          <w:bottom w:w="28" w:type="dxa"/>
          <w:right w:w="28" w:type="dxa"/>
        </w:tblCellMar>
      </w:tblPr>
      <w:tblGrid>
        <w:gridCol w:w="1981"/>
        <w:gridCol w:w="109"/>
        <w:gridCol w:w="1036"/>
        <w:gridCol w:w="109"/>
        <w:gridCol w:w="1441"/>
      </w:tblGrid>
      <w:tr>
        <w:trPr/>
        <w:tc>
          <w:tcPr>
            <w:tcW w:w="1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Wisconsin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0-25150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39-1804239</w:t>
            </w:r>
          </w:p>
        </w:tc>
      </w:tr>
      <w:tr>
        <w:trPr/>
        <w:tc>
          <w:tcPr>
            <w:tcW w:w="198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 Jurisdiction</w:t>
            </w:r>
          </w:p>
          <w:p>
            <w:pPr>
              <w:pStyle w:val="TableContents"/>
              <w:bidi w:val="0"/>
              <w:spacing w:before="0" w:after="22"/>
              <w:jc w:val="center"/>
              <w:rPr>
                <w:rFonts w:ascii="Times New Roman" w:hAnsi="Times New Roman"/>
                <w:color w:val="000000"/>
                <w:sz w:val="16"/>
              </w:rPr>
            </w:pPr>
            <w:r>
              <w:rPr>
                <w:rFonts w:ascii="Times New Roman" w:hAnsi="Times New Roman"/>
                <w:color w:val="000000"/>
                <w:sz w:val="16"/>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(Commission</w:t>
            </w:r>
          </w:p>
          <w:p>
            <w:pPr>
              <w:pStyle w:val="TableContents"/>
              <w:bidi w:val="0"/>
              <w:spacing w:before="0" w:after="22"/>
              <w:jc w:val="center"/>
              <w:rPr>
                <w:rFonts w:ascii="Times New Roman" w:hAnsi="Times New Roman"/>
                <w:color w:val="000000"/>
                <w:sz w:val="16"/>
              </w:rPr>
            </w:pPr>
            <w:r>
              <w:rPr>
                <w:rFonts w:ascii="Times New Roman" w:hAnsi="Times New Roman"/>
                <w:color w:val="000000"/>
                <w:sz w:val="16"/>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2"/>
              <w:jc w:val="center"/>
              <w:rPr>
                <w:rFonts w:ascii="Times New Roman" w:hAnsi="Times New Roman"/>
                <w:color w:val="000000"/>
                <w:sz w:val="16"/>
              </w:rPr>
            </w:pPr>
            <w:r>
              <w:rPr>
                <w:rFonts w:ascii="Times New Roman" w:hAnsi="Times New Roman"/>
                <w:color w:val="000000"/>
                <w:sz w:val="16"/>
              </w:rPr>
              <w:t>Identification No.)</w:t>
            </w:r>
          </w:p>
        </w:tc>
      </w:tr>
      <w:tr>
        <w:trPr/>
        <w:tc>
          <w:tcPr>
            <w:tcW w:w="3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3333 West Good Hope Road, Milwaukee, Wisconsin</w:t>
      </w:r>
      <w:r>
        <w:rPr>
          <w:rFonts w:ascii="Times New Roman" w:hAnsi="Times New Roman"/>
          <w:color w:val="000000"/>
          <w:sz w:val="20"/>
        </w:rPr>
        <w:t xml:space="preserve"> </w:t>
      </w:r>
      <w:r>
        <w:rPr>
          <w:rFonts w:ascii="Times New Roman" w:hAnsi="Times New Roman"/>
          <w:b/>
          <w:color w:val="000000"/>
          <w:sz w:val="20"/>
        </w:rPr>
        <w:t>53209</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 and Zip Code)</w:t>
      </w:r>
    </w:p>
    <w:p>
      <w:pPr>
        <w:pStyle w:val="TextBody"/>
        <w:bidi w:val="0"/>
        <w:spacing w:before="120" w:after="283"/>
        <w:jc w:val="center"/>
        <w:rPr>
          <w:rFonts w:ascii="Times New Roman" w:hAnsi="Times New Roman"/>
          <w:sz w:val="20"/>
        </w:rPr>
      </w:pPr>
      <w:r>
        <w:rPr>
          <w:rFonts w:ascii="Times New Roman" w:hAnsi="Times New Roman"/>
          <w:b/>
          <w:color w:val="000000"/>
          <w:sz w:val="20"/>
        </w:rPr>
        <w:t>(414)</w:t>
      </w:r>
      <w:r>
        <w:rPr>
          <w:rFonts w:ascii="Times New Roman" w:hAnsi="Times New Roman"/>
          <w:color w:val="000000"/>
          <w:sz w:val="20"/>
        </w:rPr>
        <w:t xml:space="preserve"> </w:t>
      </w:r>
      <w:r>
        <w:rPr>
          <w:rFonts w:ascii="Times New Roman" w:hAnsi="Times New Roman"/>
          <w:b/>
          <w:color w:val="000000"/>
          <w:sz w:val="20"/>
        </w:rPr>
        <w:t>247-3333</w:t>
      </w:r>
    </w:p>
    <w:p>
      <w:pPr>
        <w:pStyle w:val="TextBody"/>
        <w:bidi w:val="0"/>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(Former name or former address, if changed since last report)</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76" w:type="dxa"/>
        <w:jc w:val="left"/>
        <w:tblInd w:w="0" w:type="dxa"/>
        <w:tblLayout w:type="fixed"/>
        <w:tblCellMar>
          <w:top w:w="28" w:type="dxa"/>
          <w:left w:w="28" w:type="dxa"/>
          <w:bottom w:w="28" w:type="dxa"/>
          <w:right w:w="28" w:type="dxa"/>
        </w:tblCellMar>
      </w:tblPr>
      <w:tblGrid>
        <w:gridCol w:w="124"/>
        <w:gridCol w:w="31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 pursuant to Rule 425 under the Securities Act (17 CFR 230.425)</w:t>
            </w:r>
          </w:p>
        </w:tc>
      </w:tr>
    </w:tbl>
    <w:tbl>
      <w:tblPr>
        <w:tblW w:w="7881" w:type="dxa"/>
        <w:jc w:val="left"/>
        <w:tblInd w:w="0" w:type="dxa"/>
        <w:tblLayout w:type="fixed"/>
        <w:tblCellMar>
          <w:top w:w="28" w:type="dxa"/>
          <w:left w:w="28" w:type="dxa"/>
          <w:bottom w:w="28" w:type="dxa"/>
          <w:right w:w="28" w:type="dxa"/>
        </w:tblCellMar>
      </w:tblPr>
      <w:tblGrid>
        <w:gridCol w:w="124"/>
        <w:gridCol w:w="316"/>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46" w:type="dxa"/>
        <w:jc w:val="left"/>
        <w:tblInd w:w="0" w:type="dxa"/>
        <w:tblLayout w:type="fixed"/>
        <w:tblCellMar>
          <w:top w:w="28" w:type="dxa"/>
          <w:left w:w="28" w:type="dxa"/>
          <w:bottom w:w="28" w:type="dxa"/>
          <w:right w:w="28" w:type="dxa"/>
        </w:tblCellMar>
      </w:tblPr>
      <w:tblGrid>
        <w:gridCol w:w="124"/>
        <w:gridCol w:w="31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0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 pursuant to Rule 14d-2(b) under the Exchange Act (17 CFR 240.14d-2(b))</w:t>
            </w:r>
          </w:p>
        </w:tc>
      </w:tr>
    </w:tbl>
    <w:tbl>
      <w:tblPr>
        <w:tblW w:w="9486" w:type="dxa"/>
        <w:jc w:val="left"/>
        <w:tblInd w:w="0" w:type="dxa"/>
        <w:tblLayout w:type="fixed"/>
        <w:tblCellMar>
          <w:top w:w="28" w:type="dxa"/>
          <w:left w:w="28" w:type="dxa"/>
          <w:bottom w:w="28" w:type="dxa"/>
          <w:right w:w="28" w:type="dxa"/>
        </w:tblCellMar>
      </w:tblPr>
      <w:tblGrid>
        <w:gridCol w:w="124"/>
        <w:gridCol w:w="31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04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Pre-commencement communication pursuant to Rule 13e-4(c) under the Exchange Act (17 CFR 240.13e-4(c))</w:t>
            </w:r>
          </w:p>
          <w:p>
            <w:pPr>
              <w:pStyle w:val="TableContents"/>
              <w:bidi w:val="0"/>
              <w:spacing w:before="0" w:after="283"/>
              <w:jc w:val="left"/>
              <w:rPr/>
            </w:pPr>
            <w:r>
              <w:rPr/>
              <w:t> </w:t>
            </w:r>
          </w:p>
        </w:tc>
      </w:tr>
    </w:tbl>
    <w:p>
      <w:pPr>
        <w:pStyle w:val="TextBody"/>
        <w:bidi w:val="0"/>
        <w:spacing w:before="120" w:after="120"/>
        <w:jc w:val="center"/>
        <w:rPr>
          <w:rFonts w:ascii="Times New Roman" w:hAnsi="Times New Roman"/>
          <w:color w:val="000000"/>
          <w:sz w:val="20"/>
        </w:rPr>
      </w:pPr>
      <w:r>
        <w:rPr>
          <w:rFonts w:ascii="Times New Roman" w:hAnsi="Times New Roman"/>
          <w:color w:val="000000"/>
          <w:sz w:val="20"/>
        </w:rPr>
        <w:t>Securities registered pursuant to Section 12(b) of the Act:</w:t>
      </w:r>
    </w:p>
    <w:tbl>
      <w:tblPr>
        <w:tblW w:w="7465" w:type="dxa"/>
        <w:jc w:val="left"/>
        <w:tblInd w:w="0" w:type="dxa"/>
        <w:tblLayout w:type="fixed"/>
        <w:tblCellMar>
          <w:top w:w="28" w:type="dxa"/>
          <w:left w:w="28" w:type="dxa"/>
          <w:bottom w:w="28" w:type="dxa"/>
          <w:right w:w="28" w:type="dxa"/>
        </w:tblCellMar>
      </w:tblPr>
      <w:tblGrid>
        <w:gridCol w:w="2326"/>
        <w:gridCol w:w="146"/>
        <w:gridCol w:w="1366"/>
        <w:gridCol w:w="146"/>
        <w:gridCol w:w="348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2326"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44"/>
              <w:jc w:val="center"/>
              <w:rPr/>
            </w:pPr>
            <w:r>
              <w:rPr/>
              <w:t> </w:t>
            </w:r>
          </w:p>
        </w:tc>
        <w:tc>
          <w:tcPr>
            <w:tcW w:w="1366"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18"/>
              </w:rPr>
            </w:pPr>
            <w:r>
              <w:rPr>
                <w:rFonts w:ascii="Times New Roman" w:hAnsi="Times New Roman"/>
                <w:b/>
                <w:color w:val="000000"/>
                <w:sz w:val="18"/>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44"/>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232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Common Stock, $.01 par value</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136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STRT</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3481"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Global Stock Market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16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777" w:type="dxa"/>
        <w:jc w:val="left"/>
        <w:tblInd w:w="0" w:type="dxa"/>
        <w:tblLayout w:type="fixed"/>
        <w:tblCellMar>
          <w:top w:w="28" w:type="dxa"/>
          <w:left w:w="28" w:type="dxa"/>
          <w:bottom w:w="28" w:type="dxa"/>
          <w:right w:w="28" w:type="dxa"/>
        </w:tblCellMar>
      </w:tblPr>
      <w:tblGrid>
        <w:gridCol w:w="1051"/>
        <w:gridCol w:w="4726"/>
      </w:tblGrid>
      <w:tr>
        <w:trPr/>
        <w:tc>
          <w:tcPr>
            <w:tcW w:w="1051" w:type="dxa"/>
            <w:tcBorders/>
            <w:vAlign w:val="center"/>
          </w:tcPr>
          <w:p>
            <w:pPr>
              <w:pStyle w:val="TableContents"/>
              <w:bidi w:val="0"/>
              <w:spacing w:before="0" w:after="283"/>
              <w:jc w:val="left"/>
              <w:rPr>
                <w:sz w:val="4"/>
                <w:szCs w:val="4"/>
              </w:rPr>
            </w:pPr>
            <w:r>
              <w:rPr>
                <w:sz w:val="4"/>
                <w:szCs w:val="4"/>
              </w:rPr>
            </w:r>
          </w:p>
        </w:tc>
        <w:tc>
          <w:tcPr>
            <w:tcW w:w="4726"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b/>
                <w:color w:val="000000"/>
                <w:sz w:val="22"/>
              </w:rPr>
            </w:pPr>
            <w:r>
              <w:rPr>
                <w:rFonts w:ascii="Times New Roman" w:hAnsi="Times New Roman"/>
                <w:b/>
                <w:color w:val="000000"/>
                <w:sz w:val="22"/>
              </w:rPr>
              <w:t>Item 2.02</w:t>
            </w:r>
          </w:p>
        </w:tc>
        <w:tc>
          <w:tcPr>
            <w:tcW w:w="472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Times New Roman" w:hAnsi="Times New Roman"/>
                <w:b/>
                <w:color w:val="000000"/>
                <w:sz w:val="22"/>
              </w:rPr>
              <w:t>Results of Operations and Financial Condition</w:t>
            </w:r>
            <w:r>
              <w:rPr>
                <w:rFonts w:ascii="Times New Roman" w:hAnsi="Times New Roman"/>
                <w:color w:val="000000"/>
                <w:sz w:val="22"/>
              </w:rPr>
              <w:t>.</w:t>
            </w:r>
          </w:p>
        </w:tc>
      </w:tr>
    </w:tbl>
    <w:p>
      <w:pPr>
        <w:pStyle w:val="TextBody"/>
        <w:bidi w:val="0"/>
        <w:spacing w:before="120" w:after="160"/>
        <w:jc w:val="both"/>
        <w:rPr>
          <w:rFonts w:ascii="Times New Roman" w:hAnsi="Times New Roman"/>
          <w:sz w:val="20"/>
        </w:rPr>
      </w:pPr>
      <w:r>
        <w:rPr>
          <w:rFonts w:ascii="Times New Roman" w:hAnsi="Times New Roman"/>
          <w:color w:val="000000"/>
          <w:sz w:val="22"/>
        </w:rPr>
        <w:t>On August 25, 2026, Strattec Security Corporation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issued a press release (the “</w:t>
      </w:r>
      <w:r>
        <w:rPr>
          <w:rFonts w:ascii="Times New Roman" w:hAnsi="Times New Roman"/>
          <w:color w:val="000000"/>
          <w:sz w:val="22"/>
          <w:u w:val="single"/>
        </w:rPr>
        <w:t>Press Release</w:t>
      </w:r>
      <w:r>
        <w:rPr>
          <w:rFonts w:ascii="Times New Roman" w:hAnsi="Times New Roman"/>
          <w:color w:val="000000"/>
          <w:sz w:val="20"/>
        </w:rPr>
        <w:t>”</w:t>
      </w:r>
      <w:r>
        <w:rPr>
          <w:rFonts w:ascii="Times New Roman" w:hAnsi="Times New Roman"/>
          <w:color w:val="000000"/>
          <w:sz w:val="22"/>
        </w:rPr>
        <w:t>) announcing results for the fiscal fourth quarter ended June 28, 2026. A copy of the Press Release is attached as Exhibit 99.1 to this Current Report on Form 8-K.</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Times New Roman" w:hAnsi="Times New Roman"/>
          <w:color w:val="000000"/>
          <w:sz w:val="22"/>
        </w:rPr>
        <w:t xml:space="preserve">Pursuant to General Instruction B.2 of Current Report on Form 8-K, the information in this Item 2.02 and Exhibit 99.1 is being furnished and shall not be deemed to be “filed” for purposes of Section 18 of the </w:t>
      </w:r>
      <w:r>
        <w:rPr>
          <w:rFonts w:ascii="Times New Roman" w:hAnsi="Times New Roman"/>
          <w:color w:val="000000"/>
          <w:sz w:val="22"/>
          <w:u w:val="single"/>
        </w:rPr>
        <w:t>Securities Exchange Act of 1934</w:t>
      </w:r>
      <w:r>
        <w:rPr>
          <w:rFonts w:ascii="Times New Roman" w:hAnsi="Times New Roman"/>
          <w:color w:val="000000"/>
          <w:sz w:val="22"/>
        </w:rPr>
        <w:t>, as amended (the “</w:t>
      </w:r>
      <w:r>
        <w:rPr>
          <w:rFonts w:ascii="Times New Roman" w:hAnsi="Times New Roman"/>
          <w:color w:val="000000"/>
          <w:sz w:val="22"/>
          <w:u w:val="single"/>
        </w:rPr>
        <w:t>Exchange Act</w:t>
      </w:r>
      <w:r>
        <w:rPr>
          <w:rFonts w:ascii="Times New Roman" w:hAnsi="Times New Roman"/>
          <w:color w:val="000000"/>
          <w:sz w:val="20"/>
        </w:rPr>
        <w:t>”</w:t>
      </w:r>
      <w:r>
        <w:rPr>
          <w:rFonts w:ascii="Times New Roman" w:hAnsi="Times New Roman"/>
          <w:color w:val="000000"/>
          <w:sz w:val="22"/>
        </w:rPr>
        <w:t xml:space="preserve">), or otherwise subject to the liability of that section. Furthermore, the information in this Item 2.02 and Exhibit 99.1 shall not be deemed to be incorporated by reference into the filings of the Company under the </w:t>
      </w:r>
      <w:r>
        <w:rPr>
          <w:rFonts w:ascii="Times New Roman" w:hAnsi="Times New Roman"/>
          <w:color w:val="000000"/>
          <w:sz w:val="22"/>
          <w:u w:val="single"/>
        </w:rPr>
        <w:t>Securities Act of 1933</w:t>
      </w:r>
      <w:r>
        <w:rPr>
          <w:rFonts w:ascii="Times New Roman" w:hAnsi="Times New Roman"/>
          <w:color w:val="000000"/>
          <w:sz w:val="22"/>
        </w:rPr>
        <w:t>, as amended (the “</w:t>
      </w:r>
      <w:r>
        <w:rPr>
          <w:rFonts w:ascii="Times New Roman" w:hAnsi="Times New Roman"/>
          <w:color w:val="000000"/>
          <w:sz w:val="22"/>
          <w:u w:val="single"/>
        </w:rPr>
        <w:t>Securities Act</w:t>
      </w:r>
      <w:r>
        <w:rPr>
          <w:rFonts w:ascii="Times New Roman" w:hAnsi="Times New Roman"/>
          <w:color w:val="000000"/>
          <w:sz w:val="20"/>
        </w:rPr>
        <w:t>”</w:t>
      </w:r>
      <w:r>
        <w:rPr>
          <w:rFonts w:ascii="Times New Roman" w:hAnsi="Times New Roman"/>
          <w:color w:val="000000"/>
          <w:sz w:val="22"/>
        </w:rPr>
        <w:t>), except as may be expressly set forth by specific reference in such filing.</w:t>
      </w:r>
    </w:p>
    <w:tbl>
      <w:tblPr>
        <w:tblW w:w="3767" w:type="dxa"/>
        <w:jc w:val="left"/>
        <w:tblInd w:w="0" w:type="dxa"/>
        <w:tblLayout w:type="fixed"/>
        <w:tblCellMar>
          <w:top w:w="28" w:type="dxa"/>
          <w:left w:w="28" w:type="dxa"/>
          <w:bottom w:w="28" w:type="dxa"/>
          <w:right w:w="28" w:type="dxa"/>
        </w:tblCellMar>
      </w:tblPr>
      <w:tblGrid>
        <w:gridCol w:w="1051"/>
        <w:gridCol w:w="2716"/>
      </w:tblGrid>
      <w:tr>
        <w:trPr/>
        <w:tc>
          <w:tcPr>
            <w:tcW w:w="1051"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b/>
                <w:color w:val="000000"/>
                <w:sz w:val="22"/>
              </w:rPr>
            </w:pPr>
            <w:r>
              <w:rPr>
                <w:rFonts w:ascii="Times New Roman" w:hAnsi="Times New Roman"/>
                <w:b/>
                <w:color w:val="000000"/>
                <w:sz w:val="22"/>
              </w:rPr>
              <w:t>Item 7.01</w:t>
            </w:r>
          </w:p>
        </w:tc>
        <w:tc>
          <w:tcPr>
            <w:tcW w:w="2716" w:type="dxa"/>
            <w:tcBorders/>
            <w:shd w:fill="FFFFFF" w:val="clear"/>
            <w:tcMar>
              <w:top w:w="0" w:type="dxa"/>
              <w:left w:w="0" w:type="dxa"/>
              <w:bottom w:w="0" w:type="dxa"/>
              <w:right w:w="0" w:type="dxa"/>
            </w:tcMar>
            <w:vAlign w:val="center"/>
          </w:tcPr>
          <w:p>
            <w:pPr>
              <w:pStyle w:val="TableContents"/>
              <w:bidi w:val="0"/>
              <w:spacing w:before="0" w:after="160"/>
              <w:jc w:val="both"/>
              <w:rPr>
                <w:rFonts w:ascii="Times New Roman" w:hAnsi="Times New Roman"/>
                <w:b/>
                <w:color w:val="000000"/>
                <w:sz w:val="22"/>
              </w:rPr>
            </w:pPr>
            <w:r>
              <w:rPr>
                <w:rFonts w:ascii="Times New Roman" w:hAnsi="Times New Roman"/>
                <w:b/>
                <w:color w:val="000000"/>
                <w:sz w:val="22"/>
              </w:rPr>
              <w:t>Regulation FD Disclosure.</w:t>
            </w:r>
          </w:p>
        </w:tc>
      </w:tr>
    </w:tbl>
    <w:p>
      <w:pPr>
        <w:pStyle w:val="TextBody"/>
        <w:bidi w:val="0"/>
        <w:spacing w:before="120" w:after="160"/>
        <w:jc w:val="both"/>
        <w:rPr>
          <w:rFonts w:ascii="Times New Roman" w:hAnsi="Times New Roman"/>
          <w:color w:val="000000"/>
          <w:sz w:val="22"/>
        </w:rPr>
      </w:pPr>
      <w:r>
        <w:rPr>
          <w:rFonts w:ascii="Times New Roman" w:hAnsi="Times New Roman"/>
          <w:color w:val="000000"/>
          <w:sz w:val="22"/>
        </w:rPr>
        <w:t>As described in “Item 2.02 Results of Operations and Financial Condition” above, on August 25, 2026, the Company issued a Press Release announcing earnings results for the fiscal fourth quarter ended June 28, 2026. The Press Release issued in connection with the announcement is attached as Exhibit 99.1 to this Current Report on Form 8-K.</w:t>
      </w:r>
    </w:p>
    <w:p>
      <w:pPr>
        <w:pStyle w:val="TextBody"/>
        <w:bidi w:val="0"/>
        <w:spacing w:before="0" w:after="160"/>
        <w:jc w:val="both"/>
        <w:rPr>
          <w:rFonts w:ascii="Times New Roman" w:hAnsi="Times New Roman"/>
          <w:sz w:val="20"/>
        </w:rPr>
      </w:pPr>
      <w:r>
        <w:rPr>
          <w:rFonts w:ascii="Times New Roman" w:hAnsi="Times New Roman"/>
          <w:color w:val="000000"/>
          <w:sz w:val="22"/>
        </w:rPr>
        <w:t xml:space="preserve">Pursuant to General Instruction B.2 of Current Report on Form 8-K, the information in this Item 7.01 and Exhibit 99.1 is being furnished and shall not be deemed to be “filed” for purposes of Section 18 of the </w:t>
      </w:r>
      <w:r>
        <w:rPr>
          <w:rFonts w:ascii="Times New Roman" w:hAnsi="Times New Roman"/>
          <w:color w:val="000000"/>
          <w:sz w:val="22"/>
          <w:u w:val="single"/>
        </w:rPr>
        <w:t>Exchange Act</w:t>
      </w:r>
      <w:r>
        <w:rPr>
          <w:rFonts w:ascii="Times New Roman" w:hAnsi="Times New Roman"/>
          <w:color w:val="000000"/>
          <w:sz w:val="22"/>
        </w:rPr>
        <w:t xml:space="preserve">, or otherwise subject to the liability of that section. Furthermore, the information in this Item 7.01 and Exhibit 99.1 shall not be deemed to be incorporated by reference into the filings of the Company under the </w:t>
      </w:r>
      <w:r>
        <w:rPr>
          <w:rFonts w:ascii="Times New Roman" w:hAnsi="Times New Roman"/>
          <w:color w:val="000000"/>
          <w:sz w:val="22"/>
          <w:u w:val="single"/>
        </w:rPr>
        <w:t>Securities Act</w:t>
      </w:r>
      <w:r>
        <w:rPr>
          <w:rFonts w:ascii="Times New Roman" w:hAnsi="Times New Roman"/>
          <w:color w:val="000000"/>
          <w:sz w:val="22"/>
        </w:rPr>
        <w:t>, except as may be expressly set forth by specific reference in such filing.</w:t>
      </w:r>
    </w:p>
    <w:tbl>
      <w:tblPr>
        <w:tblW w:w="4562" w:type="dxa"/>
        <w:jc w:val="left"/>
        <w:tblInd w:w="0" w:type="dxa"/>
        <w:tblLayout w:type="fixed"/>
        <w:tblCellMar>
          <w:top w:w="28" w:type="dxa"/>
          <w:left w:w="28" w:type="dxa"/>
          <w:bottom w:w="28" w:type="dxa"/>
          <w:right w:w="28" w:type="dxa"/>
        </w:tblCellMar>
      </w:tblPr>
      <w:tblGrid>
        <w:gridCol w:w="1051"/>
        <w:gridCol w:w="3511"/>
      </w:tblGrid>
      <w:tr>
        <w:trPr/>
        <w:tc>
          <w:tcPr>
            <w:tcW w:w="105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b/>
                <w:color w:val="000000"/>
                <w:sz w:val="22"/>
              </w:rPr>
            </w:pPr>
            <w:r>
              <w:rPr>
                <w:rFonts w:ascii="Times New Roman" w:hAnsi="Times New Roman"/>
                <w:b/>
                <w:color w:val="000000"/>
                <w:sz w:val="22"/>
              </w:rPr>
              <w:t>Item 9.01</w:t>
            </w:r>
          </w:p>
        </w:tc>
        <w:tc>
          <w:tcPr>
            <w:tcW w:w="351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b/>
                <w:color w:val="000000"/>
                <w:sz w:val="22"/>
              </w:rPr>
            </w:pPr>
            <w:r>
              <w:rPr>
                <w:rFonts w:ascii="Times New Roman" w:hAnsi="Times New Roman"/>
                <w:b/>
                <w:color w:val="000000"/>
                <w:sz w:val="22"/>
              </w:rPr>
              <w:t>Financial Statements and Exhibits.</w:t>
            </w:r>
          </w:p>
        </w:tc>
      </w:tr>
    </w:tbl>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Exhibits</w:t>
      </w:r>
      <w:r>
        <w:rPr>
          <w:rFonts w:ascii="Times New Roman" w:hAnsi="Times New Roman"/>
          <w:color w:val="000000"/>
          <w:sz w:val="22"/>
        </w:rPr>
        <w:t>.</w:t>
      </w:r>
    </w:p>
    <w:p>
      <w:pPr>
        <w:pStyle w:val="TextBody"/>
        <w:bidi w:val="0"/>
        <w:jc w:val="left"/>
        <w:rPr/>
      </w:pPr>
      <w:r>
        <w:rPr/>
        <w:t> </w:t>
      </w:r>
    </w:p>
    <w:tbl>
      <w:tblPr>
        <w:tblW w:w="9887" w:type="dxa"/>
        <w:jc w:val="left"/>
        <w:tblInd w:w="0" w:type="dxa"/>
        <w:tblLayout w:type="fixed"/>
        <w:tblCellMar>
          <w:top w:w="28" w:type="dxa"/>
          <w:left w:w="28" w:type="dxa"/>
          <w:bottom w:w="28" w:type="dxa"/>
          <w:right w:w="28" w:type="dxa"/>
        </w:tblCellMar>
      </w:tblPr>
      <w:tblGrid>
        <w:gridCol w:w="1621"/>
        <w:gridCol w:w="8266"/>
      </w:tblGrid>
      <w:tr>
        <w:trPr/>
        <w:tc>
          <w:tcPr>
            <w:tcW w:w="1621" w:type="dxa"/>
            <w:tcBorders/>
            <w:vAlign w:val="center"/>
          </w:tcPr>
          <w:p>
            <w:pPr>
              <w:pStyle w:val="TableContents"/>
              <w:bidi w:val="0"/>
              <w:spacing w:before="0" w:after="283"/>
              <w:jc w:val="left"/>
              <w:rPr>
                <w:sz w:val="4"/>
                <w:szCs w:val="4"/>
              </w:rPr>
            </w:pPr>
            <w:r>
              <w:rPr>
                <w:sz w:val="4"/>
                <w:szCs w:val="4"/>
              </w:rPr>
            </w:r>
          </w:p>
        </w:tc>
        <w:tc>
          <w:tcPr>
            <w:tcW w:w="8266" w:type="dxa"/>
            <w:tcBorders/>
            <w:vAlign w:val="center"/>
          </w:tcPr>
          <w:p>
            <w:pPr>
              <w:pStyle w:val="TableContents"/>
              <w:bidi w:val="0"/>
              <w:spacing w:before="0" w:after="283"/>
              <w:jc w:val="left"/>
              <w:rPr>
                <w:sz w:val="4"/>
                <w:szCs w:val="4"/>
              </w:rPr>
            </w:pPr>
            <w:r>
              <w:rPr>
                <w:sz w:val="4"/>
                <w:szCs w:val="4"/>
              </w:rPr>
            </w:r>
          </w:p>
        </w:tc>
      </w:tr>
      <w:tr>
        <w:trPr/>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 xml:space="preserve">Exhibit </w:t>
            </w:r>
            <w:r>
              <w:rPr>
                <w:rFonts w:ascii="Times New Roman" w:hAnsi="Times New Roman"/>
                <w:color w:val="000000"/>
                <w:sz w:val="22"/>
                <w:u w:val="single"/>
              </w:rPr>
              <w:t>Number</w:t>
            </w:r>
          </w:p>
        </w:tc>
        <w:tc>
          <w:tcPr>
            <w:tcW w:w="826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Description</w:t>
            </w:r>
          </w:p>
        </w:tc>
      </w:tr>
      <w:tr>
        <w:trPr/>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99.1</w:t>
            </w:r>
          </w:p>
        </w:tc>
        <w:tc>
          <w:tcPr>
            <w:tcW w:w="8266" w:type="dxa"/>
            <w:tcBorders/>
            <w:tcMar>
              <w:top w:w="0" w:type="dxa"/>
              <w:left w:w="0" w:type="dxa"/>
              <w:bottom w:w="0" w:type="dxa"/>
              <w:right w:w="0" w:type="dxa"/>
            </w:tcMar>
            <w:vAlign w:val="center"/>
          </w:tcPr>
          <w:p>
            <w:pPr>
              <w:pStyle w:val="TableContents"/>
              <w:bidi w:val="0"/>
              <w:spacing w:before="0" w:after="283"/>
              <w:jc w:val="left"/>
              <w:rPr/>
            </w:pPr>
            <w:hyperlink w:anchor="strt-ex99_1.htm">
              <w:r>
                <w:rPr>
                  <w:rStyle w:val="InternetLink"/>
                  <w:rFonts w:ascii="Times New Roman" w:hAnsi="Times New Roman"/>
                  <w:color w:val="0000FF"/>
                  <w:sz w:val="22"/>
                  <w:u w:val="single"/>
                </w:rPr>
                <w:t>Press Release of Strattec Security Corporation, issued August 25, 2026</w:t>
              </w:r>
            </w:hyperlink>
          </w:p>
        </w:tc>
      </w:tr>
      <w:tr>
        <w:trPr/>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104</w:t>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104 – 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SIGNATURE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hereunto duly authorized.</w:t>
      </w:r>
    </w:p>
    <w:p>
      <w:pPr>
        <w:pStyle w:val="TextBody"/>
        <w:bidi w:val="0"/>
        <w:jc w:val="both"/>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STRATTEC SECURITY CORPORATION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By:</w:t>
      </w:r>
      <w:r>
        <w:rPr>
          <w:rFonts w:ascii="Times New Roman" w:hAnsi="Times New Roman"/>
          <w:color w:val="000000"/>
          <w:sz w:val="22"/>
          <w:u w:val="single"/>
        </w:rPr>
        <w:t xml:space="preserve">/s/ Matthew P. Pauli </w:t>
      </w:r>
    </w:p>
    <w:p>
      <w:pPr>
        <w:pStyle w:val="TextBody"/>
        <w:bidi w:val="0"/>
        <w:jc w:val="left"/>
        <w:rPr>
          <w:rFonts w:ascii="Times New Roman" w:hAnsi="Times New Roman"/>
          <w:sz w:val="20"/>
        </w:rPr>
      </w:pPr>
      <w:r>
        <w:rPr>
          <w:rFonts w:ascii="Times New Roman" w:hAnsi="Times New Roman"/>
          <w:color w:val="000000"/>
          <w:sz w:val="22"/>
        </w:rPr>
        <w:t>Matthew P. Pauli, Senior Vice President and</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Chief Financial Officer</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Date: August 25,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 w:hAnsi="Times New Roman"/>
          <w:b/>
          <w:color w:val="000000"/>
          <w:sz w:val="48"/>
        </w:rPr>
      </w:pPr>
      <w:bookmarkStart w:id="2" w:name="strt-ex99_1.htm"/>
      <w:bookmarkStart w:id="3" w:name="ksstrtex99_1"/>
      <w:bookmarkEnd w:id="2"/>
      <w:bookmarkEnd w:id="3"/>
      <w:r>
        <w:rPr>
          <w:rFonts w:ascii="Times New Roman" w:hAnsi="Times New Roman"/>
          <w:b/>
          <w:color w:val="000000"/>
          <w:sz w:val="48"/>
        </w:rPr>
        <w:t>NEWS</w:t>
        <w:br/>
        <w:t>RELEASE</w:t>
      </w:r>
      <w:r>
        <w:br w:type="page"/>
      </w:r>
    </w:p>
    <w:p>
      <w:pPr>
        <w:pStyle w:val="TextBody"/>
        <w:bidi w:val="0"/>
        <w:jc w:val="left"/>
        <w:rPr/>
      </w:pPr>
      <w:r>
        <w:rPr/>
        <w:t> </w:t>
      </w:r>
    </w:p>
    <w:p>
      <w:pPr>
        <w:pStyle w:val="TextBody"/>
        <w:bidi w:val="0"/>
        <w:spacing w:before="0" w:after="160"/>
        <w:jc w:val="left"/>
        <w:rPr>
          <w:rFonts w:ascii="Roboto;sans-serif" w:hAnsi="Roboto;sans-serif"/>
          <w:color w:val="000000"/>
          <w:sz w:val="22"/>
        </w:rPr>
      </w:pPr>
      <w:r>
        <w:rPr>
          <w:rFonts w:ascii="Roboto;sans-serif" w:hAnsi="Roboto;sans-serif"/>
          <w:color w:val="000000"/>
          <w:sz w:val="22"/>
        </w:rPr>
        <w:t xml:space="preserve">FOR IMMEDIATE RELEASE </w:t>
      </w:r>
    </w:p>
    <w:p>
      <w:pPr>
        <w:pStyle w:val="TextBody"/>
        <w:bidi w:val="0"/>
        <w:spacing w:before="0" w:after="160"/>
        <w:jc w:val="left"/>
        <w:rPr>
          <w:rFonts w:ascii="Roboto;sans-serif" w:hAnsi="Roboto;sans-serif"/>
          <w:b/>
          <w:smallCaps/>
          <w:color w:val="000000"/>
          <w:sz w:val="28"/>
        </w:rPr>
      </w:pPr>
      <w:r>
        <w:rPr>
          <w:rFonts w:ascii="Roboto;sans-serif" w:hAnsi="Roboto;sans-serif"/>
          <w:b/>
          <w:smallCaps/>
          <w:color w:val="000000"/>
          <w:sz w:val="28"/>
        </w:rPr>
        <w:t>Strattec Transformation Delivers Margin Improvement and Strong Cash Generation in Fiscal 2026</w:t>
      </w:r>
    </w:p>
    <w:p>
      <w:pPr>
        <w:pStyle w:val="TextBody"/>
        <w:bidi w:val="0"/>
        <w:spacing w:before="0" w:after="160"/>
        <w:ind w:left="360" w:right="0" w:hanging="0"/>
        <w:jc w:val="left"/>
        <w:rPr>
          <w:color w:val="000000"/>
        </w:rPr>
      </w:pPr>
      <w:r>
        <w:rPr>
          <w:color w:val="000000"/>
        </w:rPr>
        <w:t>•</w:t>
      </w:r>
    </w:p>
    <w:p>
      <w:pPr>
        <w:pStyle w:val="TextBody"/>
        <w:bidi w:val="0"/>
        <w:spacing w:before="0" w:after="160"/>
        <w:jc w:val="left"/>
        <w:rPr>
          <w:rFonts w:ascii="Roboto;sans-serif" w:hAnsi="Roboto;sans-serif"/>
          <w:i/>
          <w:color w:val="000000"/>
          <w:sz w:val="24"/>
        </w:rPr>
      </w:pPr>
      <w:r>
        <w:rPr>
          <w:rFonts w:ascii="Roboto;sans-serif" w:hAnsi="Roboto;sans-serif"/>
          <w:i/>
          <w:color w:val="000000"/>
          <w:sz w:val="24"/>
        </w:rPr>
        <w:t xml:space="preserve">Fourth quarter fiscal 2026 sales of $151.8 million was better than expected and relatively unchanged from prior year; achieved sales of $579.4 million for fiscal year 2026 </w:t>
      </w:r>
    </w:p>
    <w:p>
      <w:pPr>
        <w:pStyle w:val="TextBody"/>
        <w:bidi w:val="0"/>
        <w:spacing w:before="0" w:after="160"/>
        <w:ind w:left="360" w:right="0" w:hanging="0"/>
        <w:jc w:val="left"/>
        <w:rPr>
          <w:color w:val="000000"/>
        </w:rPr>
      </w:pPr>
      <w:r>
        <w:rPr>
          <w:color w:val="000000"/>
        </w:rPr>
        <w:t>•</w:t>
      </w:r>
    </w:p>
    <w:p>
      <w:pPr>
        <w:pStyle w:val="TextBody"/>
        <w:bidi w:val="0"/>
        <w:spacing w:before="0" w:after="160"/>
        <w:jc w:val="left"/>
        <w:rPr>
          <w:rFonts w:ascii="Roboto;sans-serif" w:hAnsi="Roboto;sans-serif"/>
          <w:i/>
          <w:color w:val="000000"/>
          <w:sz w:val="24"/>
        </w:rPr>
      </w:pPr>
      <w:r>
        <w:rPr>
          <w:rFonts w:ascii="Roboto;sans-serif" w:hAnsi="Roboto;sans-serif"/>
          <w:i/>
          <w:color w:val="000000"/>
          <w:sz w:val="24"/>
        </w:rPr>
        <w:t>Reported fourth quarter gross margin of 15.6%; full year gross margin expanded to 16.5%, up from 15.0% in fiscal 2025</w:t>
      </w:r>
    </w:p>
    <w:p>
      <w:pPr>
        <w:pStyle w:val="TextBody"/>
        <w:bidi w:val="0"/>
        <w:spacing w:before="0" w:after="160"/>
        <w:ind w:left="360" w:right="0" w:hanging="0"/>
        <w:jc w:val="left"/>
        <w:rPr>
          <w:color w:val="000000"/>
        </w:rPr>
      </w:pPr>
      <w:r>
        <w:rPr>
          <w:color w:val="000000"/>
        </w:rPr>
        <w:t>•</w:t>
      </w:r>
    </w:p>
    <w:p>
      <w:pPr>
        <w:pStyle w:val="TextBody"/>
        <w:bidi w:val="0"/>
        <w:spacing w:before="0" w:after="160"/>
        <w:jc w:val="left"/>
        <w:rPr>
          <w:rFonts w:ascii="Roboto;sans-serif" w:hAnsi="Roboto;sans-serif"/>
          <w:i/>
          <w:color w:val="000000"/>
          <w:sz w:val="24"/>
        </w:rPr>
      </w:pPr>
      <w:r>
        <w:rPr>
          <w:rFonts w:ascii="Roboto;sans-serif" w:hAnsi="Roboto;sans-serif"/>
          <w:i/>
          <w:color w:val="000000"/>
          <w:sz w:val="24"/>
        </w:rPr>
        <w:t>Generated fourth quarter net income attributable to Strattec of $3.9 million, or $0.95 per diluted share; adjusted diluted earnings per share were $2.06, unchanged from the prior-year period</w:t>
      </w:r>
    </w:p>
    <w:p>
      <w:pPr>
        <w:pStyle w:val="TextBody"/>
        <w:bidi w:val="0"/>
        <w:spacing w:before="0" w:after="160"/>
        <w:ind w:left="360" w:right="0" w:hanging="0"/>
        <w:jc w:val="left"/>
        <w:rPr>
          <w:color w:val="000000"/>
        </w:rPr>
      </w:pPr>
      <w:r>
        <w:rPr>
          <w:color w:val="000000"/>
        </w:rPr>
        <w:t>•</w:t>
      </w:r>
    </w:p>
    <w:p>
      <w:pPr>
        <w:pStyle w:val="TextBody"/>
        <w:bidi w:val="0"/>
        <w:spacing w:before="0" w:after="160"/>
        <w:jc w:val="left"/>
        <w:rPr/>
      </w:pPr>
      <w:r>
        <w:rPr>
          <w:rFonts w:ascii="Roboto;sans-serif" w:hAnsi="Roboto;sans-serif"/>
          <w:i/>
          <w:color w:val="000000"/>
          <w:sz w:val="24"/>
        </w:rPr>
        <w:t>Fourth quarter Adjusted EBITDA was $12.5 million, or 8.3% of net sales, compared with $13.0 million, or 8.5% of sales in the prior-year period; fiscal 2026 Adjusted EBITDA</w:t>
      </w:r>
      <w:r>
        <w:rPr>
          <w:rFonts w:ascii="Roboto;sans-serif" w:hAnsi="Roboto;sans-serif"/>
          <w:i/>
          <w:color w:val="000000"/>
          <w:sz w:val="16"/>
        </w:rPr>
        <w:t>1</w:t>
      </w:r>
      <w:r>
        <w:rPr>
          <w:color w:val="000000"/>
        </w:rPr>
        <w:t xml:space="preserve"> </w:t>
      </w:r>
      <w:r>
        <w:rPr>
          <w:rFonts w:ascii="Roboto;sans-serif" w:hAnsi="Roboto;sans-serif"/>
          <w:i/>
          <w:color w:val="000000"/>
          <w:sz w:val="24"/>
        </w:rPr>
        <w:t>was $50.5 million, a 15.3% increase over the prior year</w:t>
      </w:r>
    </w:p>
    <w:p>
      <w:pPr>
        <w:pStyle w:val="TextBody"/>
        <w:bidi w:val="0"/>
        <w:spacing w:before="0" w:after="160"/>
        <w:ind w:left="360" w:right="0" w:hanging="0"/>
        <w:jc w:val="left"/>
        <w:rPr>
          <w:color w:val="000000"/>
        </w:rPr>
      </w:pPr>
      <w:r>
        <w:rPr>
          <w:color w:val="000000"/>
        </w:rPr>
        <w:t>•</w:t>
      </w:r>
    </w:p>
    <w:p>
      <w:pPr>
        <w:pStyle w:val="TextBody"/>
        <w:bidi w:val="0"/>
        <w:spacing w:before="0" w:after="160"/>
        <w:jc w:val="left"/>
        <w:rPr>
          <w:rFonts w:ascii="Roboto;sans-serif" w:hAnsi="Roboto;sans-serif"/>
          <w:i/>
          <w:color w:val="000000"/>
          <w:sz w:val="24"/>
        </w:rPr>
      </w:pPr>
      <w:r>
        <w:rPr>
          <w:rFonts w:ascii="Roboto;sans-serif" w:hAnsi="Roboto;sans-serif"/>
          <w:i/>
          <w:color w:val="000000"/>
          <w:sz w:val="24"/>
        </w:rPr>
        <w:t>$108.2 million in cash and no debt; returned $7.4 million to shareholders through share repurchases in the fourth quarter and authorized a new $40 million share buyback program</w:t>
      </w:r>
    </w:p>
    <w:p>
      <w:pPr>
        <w:pStyle w:val="TextBody"/>
        <w:bidi w:val="0"/>
        <w:spacing w:before="0" w:after="160"/>
        <w:ind w:left="720" w:right="0" w:hanging="0"/>
        <w:jc w:val="left"/>
        <w:rPr/>
      </w:pPr>
      <w:r>
        <w:rPr/>
        <w:t> </w:t>
      </w:r>
    </w:p>
    <w:p>
      <w:pPr>
        <w:pStyle w:val="TextBody"/>
        <w:bidi w:val="0"/>
        <w:spacing w:before="240" w:after="160"/>
        <w:jc w:val="left"/>
        <w:rPr>
          <w:rFonts w:ascii="Times New Roman" w:hAnsi="Times New Roman"/>
          <w:sz w:val="20"/>
        </w:rPr>
      </w:pPr>
      <w:r>
        <w:rPr>
          <w:rFonts w:ascii="Roboto;sans-serif" w:hAnsi="Roboto;sans-serif"/>
          <w:b/>
          <w:color w:val="000000"/>
          <w:sz w:val="22"/>
        </w:rPr>
        <w:t>MILWAUKEE, WI</w:t>
      </w:r>
      <w:r>
        <w:rPr>
          <w:rFonts w:ascii="Roboto;sans-serif" w:hAnsi="Roboto;sans-serif"/>
          <w:color w:val="000000"/>
          <w:sz w:val="22"/>
        </w:rPr>
        <w:t xml:space="preserve">, August 25, 2026 — </w:t>
      </w:r>
      <w:r>
        <w:rPr>
          <w:rFonts w:ascii="Roboto;sans-serif" w:hAnsi="Roboto;sans-serif"/>
          <w:sz w:val="22"/>
        </w:rPr>
        <w:t>Strattec</w:t>
      </w:r>
      <w:r>
        <w:rPr>
          <w:rFonts w:ascii="Times New Roman" w:hAnsi="Times New Roman"/>
          <w:color w:val="000000"/>
          <w:sz w:val="20"/>
        </w:rPr>
        <w:t xml:space="preserve"> </w:t>
      </w:r>
      <w:r>
        <w:rPr>
          <w:rFonts w:ascii="Roboto;sans-serif" w:hAnsi="Roboto;sans-serif"/>
          <w:color w:val="000000"/>
          <w:sz w:val="22"/>
        </w:rPr>
        <w:t>(Nasdaq: STRT), a global provider of highly engineered access solutions for the automotive and mobility industries, today reported financial results for its fourth quarter and fiscal year 2026, which ended June 28, 2026.</w:t>
      </w:r>
    </w:p>
    <w:p>
      <w:pPr>
        <w:pStyle w:val="TextBody"/>
        <w:bidi w:val="0"/>
        <w:spacing w:before="0" w:after="160"/>
        <w:jc w:val="left"/>
        <w:rPr>
          <w:rFonts w:ascii="Times New Roman" w:hAnsi="Times New Roman"/>
          <w:sz w:val="20"/>
        </w:rPr>
      </w:pPr>
      <w:r>
        <w:rPr>
          <w:rFonts w:ascii="Roboto;sans-serif" w:hAnsi="Roboto;sans-serif"/>
          <w:color w:val="000000"/>
          <w:sz w:val="22"/>
        </w:rPr>
        <w:t>Jennifer Slater, President and CEO of Strattec, said, “Fiscal 2026 was a year of progress and discipline as we continued to reshape Strattec into a more resilient, higher-performing business. While our fourth quarter and full-year results were impacted by foreign exchange pressure and the effect of tariffs, we nonetheless delivered year-over-year growth in sales and gross margin expansion through disciplined pricing, cost actions and operational improvements.”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Roboto;sans-serif" w:hAnsi="Roboto;sans-serif"/>
          <w:color w:val="000000"/>
          <w:sz w:val="22"/>
        </w:rPr>
        <w:t>She added, “We recognize that the near-term environment remains uncertain and we have much work to do to secure future OEM vehicle platforms. We are managing costs and capital prudently, while our strong cash position gives us the flexibility to continue investing in our product technologies, production automation and customer relationships. These investments will better position us to benefit when industry conditions improve. The strength of our balance sheet also allows us to</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ptos;sans-serif" w:hAnsi="Aptos;sans-serif"/>
          <w:color w:val="000000"/>
          <w:sz w:val="13"/>
        </w:rPr>
        <w:t>1</w:t>
      </w:r>
      <w:r>
        <w:rPr>
          <w:rFonts w:ascii="Times New Roman" w:hAnsi="Times New Roman"/>
          <w:color w:val="000000"/>
          <w:sz w:val="20"/>
        </w:rPr>
        <w:t xml:space="preserve"> </w:t>
      </w:r>
      <w:r>
        <w:rPr>
          <w:rFonts w:ascii="Aptos;sans-serif" w:hAnsi="Aptos;sans-serif"/>
          <w:color w:val="000000"/>
          <w:sz w:val="20"/>
        </w:rPr>
        <w:t>Refer to use of “Non-GAAP Financial Metrics and Additional Financial Information” as well as accompanying reconciliations to GAAP</w:t>
      </w:r>
      <w:r>
        <w:rPr>
          <w:rFonts w:ascii="Times New Roman" w:hAnsi="Times New Roman"/>
          <w:color w:val="000000"/>
          <w:sz w:val="20"/>
        </w:rPr>
        <w:t xml:space="preserve"> </w:t>
      </w:r>
    </w:p>
    <w:p>
      <w:pPr>
        <w:pStyle w:val="TextBody"/>
        <w:bidi w:val="0"/>
        <w:jc w:val="left"/>
        <w:rPr/>
      </w:pPr>
      <w:r>
        <w:rPr/>
        <w:t> </w:t>
      </w:r>
    </w:p>
    <w:tbl>
      <w:tblPr>
        <w:tblW w:w="5718" w:type="dxa"/>
        <w:jc w:val="left"/>
        <w:tblInd w:w="0" w:type="dxa"/>
        <w:tblLayout w:type="fixed"/>
        <w:tblCellMar>
          <w:top w:w="28" w:type="dxa"/>
          <w:left w:w="28" w:type="dxa"/>
          <w:bottom w:w="28" w:type="dxa"/>
          <w:right w:w="28" w:type="dxa"/>
        </w:tblCellMar>
      </w:tblPr>
      <w:tblGrid>
        <w:gridCol w:w="2686"/>
        <w:gridCol w:w="2011"/>
        <w:gridCol w:w="1021"/>
      </w:tblGrid>
      <w:tr>
        <w:trPr/>
        <w:tc>
          <w:tcPr>
            <w:tcW w:w="268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2686" w:type="dxa"/>
            <w:tcBorders>
              <w:left w:val="single" w:sz="4" w:space="0" w:color="000000"/>
              <w:right w:val="single" w:sz="4" w:space="0" w:color="000000"/>
            </w:tcBorders>
            <w:tcMar>
              <w:top w:w="0" w:type="dxa"/>
              <w:left w:w="108" w:type="dxa"/>
              <w:bottom w:w="0"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3333 WEST GOOD HOPE ROAD</w:t>
              <w:br/>
              <w:t>MILWAUKEE, WI 53209</w:t>
            </w:r>
          </w:p>
        </w:tc>
        <w:tc>
          <w:tcPr>
            <w:tcW w:w="2011"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414.247.3333</w:t>
              <w:br/>
              <w:t>WWW.STRATTEC.COM</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NASDAQ: </w:t>
              <w:br/>
              <w:t>STRT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Roboto;sans-serif" w:hAnsi="Roboto;sans-serif"/>
          <w:b/>
          <w:smallCaps/>
          <w:color w:val="000000"/>
          <w:sz w:val="18"/>
        </w:rPr>
        <w:t>Strattec Transformation Delivers Margin Improvement and Strong Cash Generation in Fiscal 2026</w:t>
        <w:br/>
        <w:t>August 25, 2026</w:t>
        <w:br/>
        <w:t>Page 2</w:t>
      </w:r>
      <w:r>
        <w:rPr>
          <w:rFonts w:ascii="Times New Roman" w:hAnsi="Times New Roman"/>
          <w:smallCaps/>
          <w:color w:val="000000"/>
          <w:sz w:val="20"/>
        </w:rPr>
        <w:t xml:space="preserve"> </w:t>
      </w:r>
      <w:r>
        <w:rPr>
          <w:rFonts w:ascii="Roboto;sans-serif" w:hAnsi="Roboto;sans-serif"/>
          <w:b/>
          <w:smallCaps/>
          <w:color w:val="000000"/>
          <w:sz w:val="18"/>
        </w:rPr>
        <w:t>of 10</w:t>
      </w:r>
    </w:p>
    <w:p>
      <w:pPr>
        <w:pStyle w:val="TextBody"/>
        <w:bidi w:val="0"/>
        <w:spacing w:before="0" w:after="160"/>
        <w:jc w:val="left"/>
        <w:rPr>
          <w:rFonts w:ascii="Times New Roman" w:hAnsi="Times New Roman"/>
          <w:sz w:val="20"/>
        </w:rPr>
      </w:pPr>
      <w:r>
        <w:rPr>
          <w:rFonts w:ascii="Roboto;sans-serif" w:hAnsi="Roboto;sans-serif"/>
          <w:color w:val="000000"/>
          <w:sz w:val="22"/>
        </w:rPr>
        <w:t>consider opportunities that could enhance scale and diversify our customers, products and programs over time.”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Roboto;sans-serif" w:hAnsi="Roboto;sans-serif"/>
          <w:b/>
          <w:smallCaps/>
          <w:color w:val="000000"/>
          <w:sz w:val="24"/>
        </w:rPr>
        <w:t>FY 2026 Fourth Quarter Financial Summary</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Roboto;sans-serif" w:hAnsi="Roboto;sans-serif"/>
          <w:color w:val="000000"/>
          <w:sz w:val="22"/>
        </w:rPr>
        <w:t>Net sales were $151.8 million, relatively unchanged from $152.0 million in the prior-year period, and reflected better than expected OEM vehicle production volumes relative to industry forecasts. A majority of the volume decline, including $3.2 million related to customer cancelled EV programs, was offset by pricing actions.</w:t>
      </w:r>
      <w:r>
        <w:rPr>
          <w:rFonts w:ascii="Times New Roman" w:hAnsi="Times New Roman"/>
          <w:color w:val="000000"/>
          <w:sz w:val="20"/>
        </w:rPr>
        <w:t xml:space="preserve"> </w:t>
      </w:r>
    </w:p>
    <w:p>
      <w:pPr>
        <w:pStyle w:val="TextBody"/>
        <w:bidi w:val="0"/>
        <w:spacing w:before="0" w:after="160"/>
        <w:jc w:val="left"/>
        <w:rPr>
          <w:rFonts w:ascii="Roboto;sans-serif" w:hAnsi="Roboto;sans-serif"/>
          <w:color w:val="000000"/>
          <w:sz w:val="22"/>
        </w:rPr>
      </w:pPr>
      <w:r>
        <w:rPr>
          <w:rFonts w:ascii="Roboto;sans-serif" w:hAnsi="Roboto;sans-serif"/>
          <w:color w:val="000000"/>
          <w:sz w:val="22"/>
        </w:rPr>
        <w:t>Gross profit was $23.6 million, compared with $25.4 million in the prior year while gross margin contracted 110 basis points to 15.6%. Restructuring savings of $0.8 million, a $0.9 million reduction in tariff charges and pricing were more than offset by $1.9 million of higher costs related to unfavorable foreign currency exchange rates and the prior year benefit of $1.3 million of incremental tooling gains.</w:t>
      </w:r>
    </w:p>
    <w:p>
      <w:pPr>
        <w:pStyle w:val="TextBody"/>
        <w:bidi w:val="0"/>
        <w:spacing w:before="0" w:after="160"/>
        <w:jc w:val="left"/>
        <w:rPr>
          <w:rFonts w:ascii="Roboto;sans-serif" w:hAnsi="Roboto;sans-serif"/>
          <w:color w:val="000000"/>
          <w:sz w:val="22"/>
        </w:rPr>
      </w:pPr>
      <w:r>
        <w:rPr>
          <w:rFonts w:ascii="Roboto;sans-serif" w:hAnsi="Roboto;sans-serif"/>
          <w:color w:val="000000"/>
          <w:sz w:val="22"/>
        </w:rPr>
        <w:t xml:space="preserve">Selling, administrative and engineering (“SAE”) expenses increased 3%, or $0.6 million, to </w:t>
        <w:br/>
        <w:t>$17.5 million, or 11.5% of sales, compared with $16.9 million, or 11.1% of sales, in the prior-year period. Higher SAE expenses included $1.4 million in business transformation and executive transition costs. These costs were partially offset by a $0.7 million reduction in engineering and professional fees and $0.2 million of restructuring savings.</w:t>
      </w:r>
    </w:p>
    <w:p>
      <w:pPr>
        <w:pStyle w:val="TextBody"/>
        <w:bidi w:val="0"/>
        <w:spacing w:before="0" w:after="160"/>
        <w:jc w:val="left"/>
        <w:rPr>
          <w:rFonts w:ascii="Roboto;sans-serif" w:hAnsi="Roboto;sans-serif"/>
          <w:color w:val="000000"/>
          <w:sz w:val="22"/>
        </w:rPr>
      </w:pPr>
      <w:r>
        <w:rPr>
          <w:rFonts w:ascii="Roboto;sans-serif" w:hAnsi="Roboto;sans-serif"/>
          <w:color w:val="000000"/>
          <w:sz w:val="22"/>
        </w:rPr>
        <w:t xml:space="preserve">Interest income grew $0.1 million on higher cash balances, while interest expenses declined </w:t>
        <w:br/>
        <w:t>$0.2 million on lower borrowings. Other income increased $1.4 million primarily as a result of changes in foreign currency exchange rates.</w:t>
      </w:r>
    </w:p>
    <w:p>
      <w:pPr>
        <w:pStyle w:val="TextBody"/>
        <w:bidi w:val="0"/>
        <w:spacing w:before="0" w:after="160"/>
        <w:jc w:val="left"/>
        <w:rPr>
          <w:rFonts w:ascii="Times New Roman" w:hAnsi="Times New Roman"/>
          <w:sz w:val="20"/>
        </w:rPr>
      </w:pPr>
      <w:r>
        <w:rPr>
          <w:rFonts w:ascii="Roboto;sans-serif" w:hAnsi="Roboto;sans-serif"/>
          <w:color w:val="000000"/>
          <w:sz w:val="22"/>
        </w:rPr>
        <w:t xml:space="preserve">Net income attributable to Strattec was $3.9 million, or $0.95 per diluted share, compared with </w:t>
        <w:br/>
        <w:t>$8.3 million, or $2.01 per diluted share, in the prior-year period. On an adjusted basis, fourth quarter fiscal 2026 net income attributable to Strattec was $8.4 million and adjusted diluted earnings per share</w:t>
      </w:r>
      <w:r>
        <w:rPr>
          <w:rFonts w:ascii="Roboto;sans-serif" w:hAnsi="Roboto;sans-serif"/>
          <w:color w:val="000000"/>
          <w:sz w:val="15"/>
        </w:rPr>
        <w:t>1</w:t>
      </w:r>
      <w:r>
        <w:rPr>
          <w:rFonts w:ascii="Times New Roman" w:hAnsi="Times New Roman"/>
          <w:color w:val="000000"/>
          <w:sz w:val="20"/>
        </w:rPr>
        <w:t xml:space="preserve"> </w:t>
      </w:r>
      <w:r>
        <w:rPr>
          <w:rFonts w:ascii="Roboto;sans-serif" w:hAnsi="Roboto;sans-serif"/>
          <w:color w:val="000000"/>
          <w:sz w:val="22"/>
        </w:rPr>
        <w:t>was $2.06 unchanged from the prior year.</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Roboto;sans-serif" w:hAnsi="Roboto;sans-serif"/>
          <w:color w:val="000000"/>
          <w:sz w:val="22"/>
        </w:rPr>
        <w:t>Adjusted EBITDA</w:t>
      </w:r>
      <w:r>
        <w:rPr>
          <w:rFonts w:ascii="Roboto;sans-serif" w:hAnsi="Roboto;sans-serif"/>
          <w:color w:val="000000"/>
          <w:sz w:val="15"/>
        </w:rPr>
        <w:t>1</w:t>
      </w:r>
      <w:r>
        <w:rPr>
          <w:rFonts w:ascii="Times New Roman" w:hAnsi="Times New Roman"/>
          <w:color w:val="000000"/>
          <w:sz w:val="20"/>
        </w:rPr>
        <w:t xml:space="preserve"> </w:t>
      </w:r>
      <w:r>
        <w:rPr>
          <w:rFonts w:ascii="Roboto;sans-serif" w:hAnsi="Roboto;sans-serif"/>
          <w:color w:val="000000"/>
          <w:sz w:val="22"/>
        </w:rPr>
        <w:t>for the quarter was $12.5 million compared with $13.0 million in the prior-year period. Adjusted EBITDA margin of 8.3%, compared with 8.5% in the fiscal 2025 fourth quarter.</w:t>
      </w:r>
    </w:p>
    <w:p>
      <w:pPr>
        <w:pStyle w:val="TextBody"/>
        <w:bidi w:val="0"/>
        <w:spacing w:before="0" w:after="160"/>
        <w:jc w:val="left"/>
        <w:rPr>
          <w:rFonts w:ascii="Times New Roman" w:hAnsi="Times New Roman"/>
          <w:sz w:val="20"/>
        </w:rPr>
      </w:pPr>
      <w:r>
        <w:rPr>
          <w:rFonts w:ascii="Roboto;sans-serif" w:hAnsi="Roboto;sans-serif"/>
          <w:b/>
          <w:smallCaps/>
          <w:color w:val="000000"/>
          <w:sz w:val="24"/>
        </w:rPr>
        <w:t>Solid Balance Sheet</w:t>
      </w:r>
      <w:r>
        <w:rPr>
          <w:rFonts w:ascii="Times New Roman" w:hAnsi="Times New Roman"/>
          <w:smallCaps/>
          <w:color w:val="000000"/>
          <w:sz w:val="20"/>
        </w:rPr>
        <w:t xml:space="preserve"> </w:t>
      </w:r>
    </w:p>
    <w:p>
      <w:pPr>
        <w:pStyle w:val="TextBody"/>
        <w:bidi w:val="0"/>
        <w:spacing w:before="0" w:after="160"/>
        <w:jc w:val="left"/>
        <w:rPr>
          <w:rFonts w:ascii="Times New Roman" w:hAnsi="Times New Roman"/>
          <w:sz w:val="20"/>
        </w:rPr>
      </w:pPr>
      <w:r>
        <w:rPr>
          <w:rFonts w:ascii="Roboto;sans-serif" w:hAnsi="Roboto;sans-serif"/>
          <w:color w:val="000000"/>
          <w:sz w:val="22"/>
        </w:rPr>
        <w:t>Cash from operations in the fourth quarter of fiscal 2026 was $9.7 million, compared with</w:t>
        <w:br/>
        <w:t>$30.2 million in the prior-year period which benefited from a significant reduction in working capital.</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Roboto;sans-serif" w:hAnsi="Roboto;sans-serif"/>
          <w:color w:val="000000"/>
          <w:sz w:val="22"/>
        </w:rPr>
        <w:t>At June 28, 2026, Strattec had $108.2 million in cash and cash equivalents, up from</w:t>
        <w:br/>
        <w:t>$107.0 million at the end of the third quarter of fiscal 2026 and $84.6 million at the end of the prior fiscal year. During the quarter, the Company paid down the remaining $1.0 million in outstanding borrowings on the JV credit facility. The Company also repurchased 110,269 shares for $7.4 million for an average price of $67.10. There is $40 million remaining under the current share repurchase authorization.</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Roboto;sans-serif" w:hAnsi="Roboto;sans-serif"/>
          <w:b/>
          <w:smallCaps/>
          <w:color w:val="000000"/>
          <w:sz w:val="24"/>
        </w:rPr>
        <w:t>Fourth Quarter and Fiscal Year 2026 Webcast and Conference Call</w:t>
      </w:r>
      <w:r>
        <w:rPr>
          <w:rFonts w:ascii="Times New Roman" w:hAnsi="Times New Roman"/>
          <w:smallCaps/>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Roboto;sans-serif" w:hAnsi="Roboto;sans-serif"/>
          <w:b/>
          <w:smallCaps/>
          <w:color w:val="000000"/>
          <w:sz w:val="18"/>
        </w:rPr>
        <w:t>Strattec Transformation Delivers Margin Improvement and Strong Cash Generation in Fiscal 2026</w:t>
        <w:br/>
        <w:t>August 25, 2026</w:t>
        <w:br/>
        <w:t>Page 3</w:t>
      </w:r>
      <w:r>
        <w:rPr>
          <w:rFonts w:ascii="Times New Roman" w:hAnsi="Times New Roman"/>
          <w:smallCaps/>
          <w:color w:val="000000"/>
          <w:sz w:val="20"/>
        </w:rPr>
        <w:t xml:space="preserve"> </w:t>
      </w:r>
      <w:r>
        <w:rPr>
          <w:rFonts w:ascii="Roboto;sans-serif" w:hAnsi="Roboto;sans-serif"/>
          <w:b/>
          <w:smallCaps/>
          <w:color w:val="000000"/>
          <w:sz w:val="18"/>
        </w:rPr>
        <w:t>of 10</w:t>
      </w:r>
    </w:p>
    <w:p>
      <w:pPr>
        <w:pStyle w:val="TextBody"/>
        <w:bidi w:val="0"/>
        <w:spacing w:before="0" w:after="160"/>
        <w:jc w:val="left"/>
        <w:rPr>
          <w:rFonts w:ascii="Roboto;sans-serif" w:hAnsi="Roboto;sans-serif"/>
          <w:color w:val="000000"/>
          <w:sz w:val="22"/>
        </w:rPr>
      </w:pPr>
      <w:r>
        <w:rPr>
          <w:rFonts w:ascii="Roboto;sans-serif" w:hAnsi="Roboto;sans-serif"/>
          <w:color w:val="000000"/>
          <w:sz w:val="22"/>
        </w:rPr>
        <w:t>Strattec will host a conference call and webcast tomorrow, Wednesday, August 26, 2026, at 8:00 am Central Time/9:00 am Eastern Time to review the financial and operating results for the period ended June 28, 2026, and provide an update on its transformation progress. A question-and-answer session will follow.</w:t>
      </w:r>
    </w:p>
    <w:p>
      <w:pPr>
        <w:pStyle w:val="TextBody"/>
        <w:bidi w:val="0"/>
        <w:spacing w:before="0" w:after="160"/>
        <w:jc w:val="left"/>
        <w:rPr>
          <w:rFonts w:ascii="Times New Roman" w:hAnsi="Times New Roman"/>
          <w:sz w:val="20"/>
        </w:rPr>
      </w:pPr>
      <w:r>
        <w:rPr>
          <w:rFonts w:ascii="Roboto;sans-serif" w:hAnsi="Roboto;sans-serif"/>
          <w:color w:val="000000"/>
          <w:sz w:val="22"/>
        </w:rPr>
        <w:t xml:space="preserve">You can access the call by phoning +1 (201) 689-8470 or find the webcast and accompanying slide presentation at </w:t>
      </w:r>
      <w:r>
        <w:rPr>
          <w:rFonts w:ascii="Roboto;sans-serif" w:hAnsi="Roboto;sans-serif"/>
          <w:sz w:val="22"/>
        </w:rPr>
        <w:t>investors.strattec.com</w:t>
      </w:r>
      <w:r>
        <w:rPr>
          <w:rFonts w:ascii="Roboto;sans-serif" w:hAnsi="Roboto;sans-serif"/>
          <w:color w:val="000000"/>
          <w:sz w:val="22"/>
        </w:rPr>
        <w: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Roboto;sans-serif" w:hAnsi="Roboto;sans-serif"/>
          <w:color w:val="000000"/>
          <w:sz w:val="22"/>
        </w:rPr>
        <w:t xml:space="preserve">A telephonic replay will be available from approximately 11:00 am CT on the day of the call through Wednesday, September 9, 2026. To listen to the archived call, dial +1 (412) 317-6671 and enter replay PIN 13761060. The webcast replay will be available on the Investor Relations section of the Company’s website at </w:t>
      </w:r>
      <w:r>
        <w:rPr>
          <w:rFonts w:ascii="Roboto;sans-serif" w:hAnsi="Roboto;sans-serif"/>
          <w:sz w:val="22"/>
        </w:rPr>
        <w:t>investors.strattec.com</w:t>
      </w:r>
      <w:r>
        <w:rPr>
          <w:rFonts w:ascii="Roboto;sans-serif" w:hAnsi="Roboto;sans-serif"/>
          <w:color w:val="000000"/>
          <w:sz w:val="22"/>
        </w:rPr>
        <w:t>, where a transcript will be posted once available.</w:t>
      </w:r>
    </w:p>
    <w:p>
      <w:pPr>
        <w:pStyle w:val="TextBody"/>
        <w:bidi w:val="0"/>
        <w:spacing w:before="0" w:after="160"/>
        <w:jc w:val="left"/>
        <w:rPr>
          <w:rFonts w:ascii="Times New Roman" w:hAnsi="Times New Roman"/>
          <w:sz w:val="20"/>
        </w:rPr>
      </w:pPr>
      <w:r>
        <w:rPr>
          <w:rFonts w:ascii="Roboto;sans-serif" w:hAnsi="Roboto;sans-serif"/>
          <w:b/>
          <w:smallCaps/>
          <w:color w:val="000000"/>
          <w:sz w:val="24"/>
        </w:rPr>
        <w:t>About Strattec</w:t>
      </w:r>
      <w:r>
        <w:rPr>
          <w:rFonts w:ascii="Roboto;sans-serif" w:hAnsi="Roboto;sans-serif"/>
          <w:b/>
          <w:color w:val="000000"/>
          <w:sz w:val="22"/>
        </w:rPr>
        <w:br/>
      </w:r>
      <w:r>
        <w:rPr>
          <w:rFonts w:ascii="Roboto;sans-serif" w:hAnsi="Roboto;sans-serif"/>
          <w:color w:val="000000"/>
          <w:sz w:val="22"/>
        </w:rPr>
        <w:t>Strattec is a global automotive access company that designs and delivers safe, secure, and highly engineered access solutions for the automotive and mobility industries. Built on generations of access and security engineering expertise, Strattec partners closely with OEMs to create differentiated, system</w:t>
        <w:noBreakHyphen/>
        <w:t>level access experiences for end consumers. Strattec’s portfolio spans the access journey from Permission, enabling secure vehicle entry through advanced mechanical and electronic systems; to Motion, delivering effortless, reliable powered access that enhances everyday usability; and through to Hold, providing precision</w:t>
        <w:noBreakHyphen/>
        <w:t>engineered latching solutions that give drivers confidence through proven strength, safety, and durability trusted by OEMs worldwide.</w:t>
      </w:r>
    </w:p>
    <w:p>
      <w:pPr>
        <w:pStyle w:val="TextBody"/>
        <w:bidi w:val="0"/>
        <w:spacing w:before="0" w:after="160"/>
        <w:jc w:val="left"/>
        <w:rPr>
          <w:rFonts w:ascii="Times New Roman" w:hAnsi="Times New Roman"/>
          <w:sz w:val="20"/>
        </w:rPr>
      </w:pPr>
      <w:r>
        <w:rPr>
          <w:rFonts w:ascii="Roboto;sans-serif" w:hAnsi="Roboto;sans-serif"/>
          <w:color w:val="000000"/>
          <w:sz w:val="22"/>
        </w:rPr>
        <w:t>As access becomes increasingly intelligent, connected, and central to vehicle experience, Strattec’s strategy is to expand its market share, further diversify its customers and geographic reach while becoming the most trusted access partner to drive long</w:t>
        <w:noBreakHyphen/>
        <w:t xml:space="preserve">term growth across global automotive and mobility markets. For more information, visit </w:t>
      </w:r>
      <w:r>
        <w:rPr>
          <w:rFonts w:ascii="Roboto;sans-serif" w:hAnsi="Roboto;sans-serif"/>
          <w:sz w:val="22"/>
        </w:rPr>
        <w:t>www.strattec.com</w:t>
      </w:r>
      <w:r>
        <w:rPr>
          <w:rFonts w:ascii="Roboto;sans-serif" w:hAnsi="Roboto;sans-serif"/>
          <w:color w:val="000000"/>
          <w:sz w:val="22"/>
        </w:rPr>
        <w:t>.</w:t>
      </w:r>
    </w:p>
    <w:p>
      <w:pPr>
        <w:pStyle w:val="TextBody"/>
        <w:bidi w:val="0"/>
        <w:spacing w:before="0" w:after="160"/>
        <w:jc w:val="left"/>
        <w:rPr>
          <w:rFonts w:ascii="Roboto;sans-serif" w:hAnsi="Roboto;sans-serif"/>
          <w:b/>
          <w:smallCaps/>
          <w:color w:val="000000"/>
          <w:sz w:val="24"/>
        </w:rPr>
      </w:pPr>
      <w:r>
        <w:rPr>
          <w:rFonts w:ascii="Roboto;sans-serif" w:hAnsi="Roboto;sans-serif"/>
          <w:b/>
          <w:smallCaps/>
          <w:color w:val="000000"/>
          <w:sz w:val="24"/>
        </w:rPr>
        <w:t>Safe Harbor Statement</w:t>
      </w:r>
    </w:p>
    <w:p>
      <w:pPr>
        <w:pStyle w:val="TextBody"/>
        <w:bidi w:val="0"/>
        <w:spacing w:before="0" w:after="160"/>
        <w:jc w:val="left"/>
        <w:rPr>
          <w:rFonts w:ascii="Times New Roman" w:hAnsi="Times New Roman"/>
          <w:sz w:val="20"/>
        </w:rPr>
      </w:pPr>
      <w:r>
        <w:rPr>
          <w:rFonts w:ascii="Roboto;sans-serif" w:hAnsi="Roboto;sans-serif"/>
          <w:color w:val="000000"/>
          <w:sz w:val="22"/>
        </w:rPr>
        <w:t>Certain statements contained in this release contain “forward-looking statements” within the meaning of the Private Securities Litigation Reform Act of 1995. These statements may be identified by the use of forward-looking words or phrases such as “anticipate,” “believe,” “could,” “expect,” “intend,” “may,” “planned,” “potential,” “should,” “will,” and “would.” Such forward-looking statements are inherently subject to many uncertainties in the Company’s operations and business environment. These uncertainties include general economic conditions, in particular, relating to the automotive industry, consumer demand for the Company’s and its customers’ products, competitive and technological developments, customer purchasing actions, changes in warranty provisions and customer product recall policies, work stoppages at the Company or at the location of its key customers as a result of labor disputes, foreign currency fluctuations, uncertainties stemming from U.S. trade policies, tariffs and reactions to the same from foreign countries, matters adversely impacting the timing and availability of component parts and raw materials needed for the production of the Company’s products and the products of its customers and fluctuations in costs of operation. Shareholders, potential investors and other readers are urged to consider these factors carefully in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Roboto;sans-serif" w:hAnsi="Roboto;sans-serif"/>
          <w:b/>
          <w:smallCaps/>
          <w:color w:val="000000"/>
          <w:sz w:val="18"/>
        </w:rPr>
        <w:t>Strattec Transformation Delivers Margin Improvement and Strong Cash Generation in Fiscal 2026</w:t>
        <w:br/>
        <w:t>August 25, 2026</w:t>
        <w:br/>
        <w:t>Page 4</w:t>
      </w:r>
      <w:r>
        <w:rPr>
          <w:rFonts w:ascii="Times New Roman" w:hAnsi="Times New Roman"/>
          <w:smallCaps/>
          <w:color w:val="000000"/>
          <w:sz w:val="20"/>
        </w:rPr>
        <w:t xml:space="preserve"> </w:t>
      </w:r>
      <w:r>
        <w:rPr>
          <w:rFonts w:ascii="Roboto;sans-serif" w:hAnsi="Roboto;sans-serif"/>
          <w:b/>
          <w:smallCaps/>
          <w:color w:val="000000"/>
          <w:sz w:val="18"/>
        </w:rPr>
        <w:t>of 10</w:t>
      </w:r>
    </w:p>
    <w:p>
      <w:pPr>
        <w:pStyle w:val="TextBody"/>
        <w:bidi w:val="0"/>
        <w:spacing w:before="0" w:after="160"/>
        <w:jc w:val="left"/>
        <w:rPr>
          <w:rFonts w:ascii="Times New Roman" w:hAnsi="Times New Roman"/>
          <w:sz w:val="20"/>
        </w:rPr>
      </w:pPr>
      <w:r>
        <w:rPr>
          <w:rFonts w:ascii="Roboto;sans-serif" w:hAnsi="Roboto;sans-serif"/>
          <w:color w:val="000000"/>
          <w:sz w:val="22"/>
        </w:rPr>
        <w:t>evaluating the forward-looking statements and are cautioned not to place undue reliance on such forward-looking statements. Such uncertainties and other operational matters are discussed further in the Company’s quarterly and annual filings with the Securities and Exchange Commission. The forward-looking statements made herein are only made as of the date of this press release and the Company undertakes no obligation to publicly update such forward-looking statements to reflect subsequent events or circumstances occurring after the date of this release.</w:t>
      </w:r>
      <w:r>
        <w:rPr>
          <w:rFonts w:ascii="Times New Roman" w:hAnsi="Times New Roman"/>
          <w:color w:val="000000"/>
          <w:sz w:val="20"/>
        </w:rPr>
        <w:t xml:space="preserve"> </w:t>
      </w:r>
    </w:p>
    <w:p>
      <w:pPr>
        <w:pStyle w:val="TextBody"/>
        <w:bidi w:val="0"/>
        <w:spacing w:before="0" w:after="160"/>
        <w:jc w:val="left"/>
        <w:rPr>
          <w:rFonts w:ascii="Roboto;sans-serif" w:hAnsi="Roboto;sans-serif"/>
          <w:b/>
          <w:smallCaps/>
          <w:color w:val="000000"/>
          <w:sz w:val="24"/>
        </w:rPr>
      </w:pPr>
      <w:r>
        <w:rPr>
          <w:rFonts w:ascii="Roboto;sans-serif" w:hAnsi="Roboto;sans-serif"/>
          <w:b/>
          <w:smallCaps/>
          <w:color w:val="000000"/>
          <w:sz w:val="24"/>
        </w:rPr>
        <w:t>Use of Non-Gaap Financial Metrics and Additional Financial Information</w:t>
      </w:r>
    </w:p>
    <w:p>
      <w:pPr>
        <w:pStyle w:val="TextBody"/>
        <w:bidi w:val="0"/>
        <w:spacing w:before="0" w:after="160"/>
        <w:jc w:val="left"/>
        <w:rPr>
          <w:rFonts w:ascii="Roboto;sans-serif" w:hAnsi="Roboto;sans-serif"/>
          <w:color w:val="000000"/>
          <w:sz w:val="22"/>
        </w:rPr>
      </w:pPr>
      <w:r>
        <w:rPr>
          <w:rFonts w:ascii="Roboto;sans-serif" w:hAnsi="Roboto;sans-serif"/>
          <w:color w:val="000000"/>
          <w:sz w:val="22"/>
        </w:rPr>
        <w:t>In addition to reporting financial results in accordance with generally accepted accounting principles, or GAAP, Strattec provides Adjusted Non-GAAP information as additional information for its operating results. References to Adjusted Non-GAAP information are to non-GAAP financial measures. These measures are not required by, in accordance with, or an alternative for, GAAP and may be different from similarly titled non-GAAP financial measures used by other companies. Strattec’s management uses these measures to make strategic decisions, establish budget plans and forecasts, identify trends affecting Strattec’s business, and evaluate performance. Management believes that providing these non-GAAP financial measures to investors, as a supplement to GAAP financial measures, will help investors evaluate Strattec’s core operating and financial performance and business trends consistent with how management evaluates such performance and trends. Investors are encouraged to review the related GAAP financial measures and the reconciliation of these non-GAAP financial measures to their most directly comparable GAAP financial measures.</w:t>
      </w:r>
    </w:p>
    <w:p>
      <w:pPr>
        <w:pStyle w:val="TextBody"/>
        <w:bidi w:val="0"/>
        <w:spacing w:before="0" w:after="160"/>
        <w:jc w:val="center"/>
        <w:rPr>
          <w:rFonts w:ascii="Roboto;sans-serif" w:hAnsi="Roboto;sans-serif"/>
          <w:color w:val="000000"/>
          <w:sz w:val="22"/>
        </w:rPr>
      </w:pPr>
      <w:r>
        <w:rPr>
          <w:rFonts w:ascii="Roboto;sans-serif" w:hAnsi="Roboto;sans-serif"/>
          <w:color w:val="000000"/>
          <w:sz w:val="22"/>
        </w:rPr>
        <w:t>###</w:t>
      </w:r>
    </w:p>
    <w:p>
      <w:pPr>
        <w:pStyle w:val="TextBody"/>
        <w:bidi w:val="0"/>
        <w:spacing w:before="0" w:after="160"/>
        <w:jc w:val="center"/>
        <w:rPr/>
      </w:pPr>
      <w:r>
        <w:rPr/>
        <w:t>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left"/>
              <w:rPr>
                <w:sz w:val="4"/>
                <w:szCs w:val="4"/>
              </w:rPr>
            </w:pPr>
            <w:r>
              <w:rPr>
                <w:sz w:val="4"/>
                <w:szCs w:val="4"/>
              </w:rPr>
            </w:r>
          </w:p>
        </w:tc>
      </w:tr>
      <w:tr>
        <w:trPr/>
        <w:tc>
          <w:tcPr>
            <w:tcW w:w="4816" w:type="dxa"/>
            <w:tcBorders/>
            <w:tcMar>
              <w:top w:w="0" w:type="dxa"/>
              <w:left w:w="0" w:type="dxa"/>
              <w:bottom w:w="0" w:type="dxa"/>
              <w:right w:w="0" w:type="dxa"/>
            </w:tcMar>
            <w:vAlign w:val="center"/>
          </w:tcPr>
          <w:p>
            <w:pPr>
              <w:pStyle w:val="TableContents"/>
              <w:bidi w:val="0"/>
              <w:spacing w:before="0" w:after="160"/>
              <w:jc w:val="left"/>
              <w:rPr>
                <w:rFonts w:ascii="Roboto;sans-serif" w:hAnsi="Roboto;sans-serif"/>
                <w:b/>
                <w:color w:val="000000"/>
                <w:sz w:val="22"/>
              </w:rPr>
            </w:pPr>
            <w:r>
              <w:rPr>
                <w:rFonts w:ascii="Roboto;sans-serif" w:hAnsi="Roboto;sans-serif"/>
                <w:b/>
                <w:color w:val="000000"/>
                <w:sz w:val="22"/>
              </w:rPr>
              <w:t>Investor Contact:</w:t>
            </w:r>
          </w:p>
        </w:tc>
      </w:tr>
      <w:tr>
        <w:trPr/>
        <w:tc>
          <w:tcPr>
            <w:tcW w:w="4816"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Roboto;sans-serif" w:hAnsi="Roboto;sans-serif"/>
                <w:color w:val="000000"/>
                <w:sz w:val="22"/>
              </w:rPr>
              <w:t>Deborah K. Pawlowski, IRC</w:t>
              <w:br/>
              <w:t>Alliance Advisors IR</w:t>
              <w:br/>
              <w:t>Phone: 716-843-3908</w:t>
              <w:br/>
              <w:t xml:space="preserve">Email: </w:t>
            </w:r>
            <w:r>
              <w:rPr>
                <w:rFonts w:ascii="Roboto;sans-serif" w:hAnsi="Roboto;sans-serif"/>
                <w:sz w:val="22"/>
              </w:rPr>
              <w:t>dpawlowski@allianceadvisors.com</w:t>
            </w:r>
          </w:p>
        </w:tc>
      </w:tr>
    </w:tbl>
    <w:p>
      <w:pPr>
        <w:pStyle w:val="TextBody"/>
        <w:bidi w:val="0"/>
        <w:spacing w:before="0" w:after="160"/>
        <w:jc w:val="left"/>
        <w:rPr/>
      </w:pPr>
      <w:r>
        <w:rPr/>
        <w:t> </w:t>
      </w:r>
    </w:p>
    <w:p>
      <w:pPr>
        <w:pStyle w:val="TextBody"/>
        <w:bidi w:val="0"/>
        <w:spacing w:before="0" w:after="16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Roboto;sans-serif" w:hAnsi="Roboto;sans-serif"/>
          <w:b/>
          <w:smallCaps/>
          <w:color w:val="000000"/>
          <w:sz w:val="18"/>
        </w:rPr>
        <w:t>Strattec Transformation Delivers Margin Improvement and Strong Cash Generation in Fiscal 2026</w:t>
        <w:br/>
        <w:t>August 25, 2026</w:t>
        <w:br/>
        <w:t>Page 5</w:t>
      </w:r>
      <w:r>
        <w:rPr>
          <w:rFonts w:ascii="Times New Roman" w:hAnsi="Times New Roman"/>
          <w:smallCaps/>
          <w:color w:val="000000"/>
          <w:sz w:val="20"/>
        </w:rPr>
        <w:t xml:space="preserve"> </w:t>
      </w:r>
      <w:r>
        <w:rPr>
          <w:rFonts w:ascii="Roboto;sans-serif" w:hAnsi="Roboto;sans-serif"/>
          <w:b/>
          <w:smallCaps/>
          <w:color w:val="000000"/>
          <w:sz w:val="18"/>
        </w:rPr>
        <w:t>of 10</w:t>
      </w:r>
    </w:p>
    <w:tbl>
      <w:tblPr>
        <w:tblW w:w="10205" w:type="dxa"/>
        <w:jc w:val="left"/>
        <w:tblInd w:w="0" w:type="dxa"/>
        <w:tblLayout w:type="fixed"/>
        <w:tblCellMar>
          <w:top w:w="28" w:type="dxa"/>
          <w:left w:w="28" w:type="dxa"/>
          <w:bottom w:w="28" w:type="dxa"/>
          <w:right w:w="28" w:type="dxa"/>
        </w:tblCellMar>
      </w:tblPr>
      <w:tblGrid>
        <w:gridCol w:w="3710"/>
        <w:gridCol w:w="241"/>
        <w:gridCol w:w="991"/>
        <w:gridCol w:w="271"/>
        <w:gridCol w:w="146"/>
        <w:gridCol w:w="241"/>
        <w:gridCol w:w="991"/>
        <w:gridCol w:w="271"/>
        <w:gridCol w:w="146"/>
        <w:gridCol w:w="241"/>
        <w:gridCol w:w="991"/>
        <w:gridCol w:w="271"/>
        <w:gridCol w:w="146"/>
        <w:gridCol w:w="241"/>
        <w:gridCol w:w="991"/>
        <w:gridCol w:w="316"/>
      </w:tblGrid>
      <w:tr>
        <w:trPr/>
        <w:tc>
          <w:tcPr>
            <w:tcW w:w="371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889"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Roboto;sans-serif" w:hAnsi="Roboto;sans-serif"/>
                <w:b/>
                <w:color w:val="000000"/>
                <w:sz w:val="28"/>
              </w:rPr>
            </w:pPr>
            <w:r>
              <w:rPr>
                <w:rFonts w:ascii="Roboto;sans-serif" w:hAnsi="Roboto;sans-serif"/>
                <w:b/>
                <w:color w:val="000000"/>
                <w:sz w:val="28"/>
              </w:rPr>
              <w:t>STRATTEC SECURITY CORPORATION</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89"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Roboto;sans-serif" w:hAnsi="Roboto;sans-serif"/>
                <w:b/>
                <w:color w:val="000000"/>
                <w:sz w:val="22"/>
              </w:rPr>
            </w:pPr>
            <w:r>
              <w:rPr>
                <w:rFonts w:ascii="Roboto;sans-serif" w:hAnsi="Roboto;sans-serif"/>
                <w:b/>
                <w:color w:val="000000"/>
                <w:sz w:val="22"/>
              </w:rPr>
              <w:t>CONDENSED CONSOLIDATED STATEMENTS OF INCOME (UNAUDITED)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89"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Roboto;sans-serif" w:hAnsi="Roboto;sans-serif"/>
                <w:b/>
                <w:i/>
                <w:color w:val="000000"/>
                <w:sz w:val="20"/>
              </w:rPr>
            </w:pPr>
            <w:r>
              <w:rPr>
                <w:rFonts w:ascii="Roboto;sans-serif" w:hAnsi="Roboto;sans-serif"/>
                <w:b/>
                <w:i/>
                <w:color w:val="000000"/>
                <w:sz w:val="20"/>
              </w:rPr>
              <w:t>(in thousands, except per share amounts)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20"/>
              </w:rPr>
            </w:pPr>
            <w:r>
              <w:rPr>
                <w:rFonts w:ascii="Roboto;sans-serif" w:hAnsi="Roboto;sans-serif"/>
                <w:b/>
                <w:color w:val="000000"/>
                <w:sz w:val="20"/>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20"/>
              </w:rPr>
            </w:pPr>
            <w:r>
              <w:rPr>
                <w:rFonts w:ascii="Roboto;sans-serif" w:hAnsi="Roboto;sans-serif"/>
                <w:b/>
                <w:color w:val="000000"/>
                <w:sz w:val="20"/>
              </w:rPr>
              <w:t>Twelve Months Ended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20"/>
              </w:rPr>
            </w:pPr>
            <w:r>
              <w:rPr>
                <w:rFonts w:ascii="Roboto;sans-serif" w:hAnsi="Roboto;sans-serif"/>
                <w:b/>
                <w:color w:val="000000"/>
                <w:sz w:val="20"/>
              </w:rPr>
              <w:t>June 28,</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20"/>
              </w:rPr>
            </w:pPr>
            <w:r>
              <w:rPr>
                <w:rFonts w:ascii="Roboto;sans-serif" w:hAnsi="Roboto;sans-serif"/>
                <w:b/>
                <w:color w:val="000000"/>
                <w:sz w:val="20"/>
              </w:rPr>
              <w:t>June 29,</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20"/>
              </w:rPr>
            </w:pPr>
            <w:r>
              <w:rPr>
                <w:rFonts w:ascii="Roboto;sans-serif" w:hAnsi="Roboto;sans-serif"/>
                <w:b/>
                <w:color w:val="000000"/>
                <w:sz w:val="20"/>
              </w:rPr>
              <w:t>June 28,</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20"/>
              </w:rPr>
            </w:pPr>
            <w:r>
              <w:rPr>
                <w:rFonts w:ascii="Roboto;sans-serif" w:hAnsi="Roboto;sans-serif"/>
                <w:b/>
                <w:color w:val="000000"/>
                <w:sz w:val="20"/>
              </w:rPr>
              <w:t>June 29,</w:t>
              <w:b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Net sales</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151,827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152,013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579,392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565,066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0"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Cost of goods sold</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128,179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126,613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484,027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480,489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1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Gross profit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23,648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25,400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95,365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84,577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i/>
                <w:color w:val="000000"/>
                <w:sz w:val="18"/>
              </w:rPr>
            </w:pPr>
            <w:r>
              <w:rPr>
                <w:rFonts w:ascii="Roboto;sans-serif" w:hAnsi="Roboto;sans-serif"/>
                <w:i/>
                <w:color w:val="000000"/>
                <w:sz w:val="18"/>
              </w:rPr>
              <w:t>Gross margin</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i/>
                <w:color w:val="000000"/>
                <w:sz w:val="18"/>
              </w:rPr>
            </w:pPr>
            <w:r>
              <w:rPr>
                <w:rFonts w:ascii="Roboto;sans-serif" w:hAnsi="Roboto;sans-serif"/>
                <w:i/>
                <w:color w:val="000000"/>
                <w:sz w:val="18"/>
              </w:rPr>
              <w:t>15.6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i/>
                <w:color w:val="000000"/>
                <w:sz w:val="18"/>
              </w:rPr>
            </w:pPr>
            <w:r>
              <w:rPr>
                <w:rFonts w:ascii="Roboto;sans-serif" w:hAnsi="Roboto;sans-serif"/>
                <w:i/>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i/>
                <w:color w:val="000000"/>
                <w:sz w:val="18"/>
              </w:rPr>
            </w:pPr>
            <w:r>
              <w:rPr>
                <w:rFonts w:ascii="Roboto;sans-serif" w:hAnsi="Roboto;sans-serif"/>
                <w:i/>
                <w:color w:val="000000"/>
                <w:sz w:val="18"/>
              </w:rPr>
              <w:t>16.7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i/>
                <w:color w:val="000000"/>
                <w:sz w:val="18"/>
              </w:rPr>
            </w:pPr>
            <w:r>
              <w:rPr>
                <w:rFonts w:ascii="Roboto;sans-serif" w:hAnsi="Roboto;sans-serif"/>
                <w:i/>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i/>
                <w:color w:val="000000"/>
                <w:sz w:val="18"/>
              </w:rPr>
            </w:pPr>
            <w:r>
              <w:rPr>
                <w:rFonts w:ascii="Roboto;sans-serif" w:hAnsi="Roboto;sans-serif"/>
                <w:i/>
                <w:color w:val="000000"/>
                <w:sz w:val="18"/>
              </w:rPr>
              <w:t>16.5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i/>
                <w:color w:val="000000"/>
                <w:sz w:val="18"/>
              </w:rPr>
            </w:pPr>
            <w:r>
              <w:rPr>
                <w:rFonts w:ascii="Roboto;sans-serif" w:hAnsi="Roboto;sans-serif"/>
                <w:i/>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i/>
                <w:color w:val="000000"/>
                <w:sz w:val="18"/>
              </w:rPr>
            </w:pPr>
            <w:r>
              <w:rPr>
                <w:rFonts w:ascii="Roboto;sans-serif" w:hAnsi="Roboto;sans-serif"/>
                <w:i/>
                <w:color w:val="000000"/>
                <w:sz w:val="18"/>
              </w:rPr>
              <w:t>15.0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i/>
                <w:color w:val="000000"/>
                <w:sz w:val="18"/>
              </w:rPr>
            </w:pPr>
            <w:r>
              <w:rPr>
                <w:rFonts w:ascii="Roboto;sans-serif" w:hAnsi="Roboto;sans-serif"/>
                <w:i/>
                <w:color w:val="000000"/>
                <w:sz w:val="18"/>
              </w:rPr>
              <w:t>%</w:t>
            </w:r>
          </w:p>
        </w:tc>
      </w:tr>
      <w:tr>
        <w:trPr/>
        <w:tc>
          <w:tcPr>
            <w:tcW w:w="3710"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Selling, administrative and engineering expenses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17,480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16,898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68,842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61,793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1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Income from operations</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6,168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8,502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26,523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22,784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i/>
                <w:color w:val="000000"/>
                <w:sz w:val="18"/>
              </w:rPr>
            </w:pPr>
            <w:r>
              <w:rPr>
                <w:rFonts w:ascii="Roboto;sans-serif" w:hAnsi="Roboto;sans-serif"/>
                <w:i/>
                <w:color w:val="000000"/>
                <w:sz w:val="18"/>
              </w:rPr>
              <w:t>Operating margin</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i/>
                <w:color w:val="000000"/>
                <w:sz w:val="18"/>
              </w:rPr>
            </w:pPr>
            <w:r>
              <w:rPr>
                <w:rFonts w:ascii="Roboto;sans-serif" w:hAnsi="Roboto;sans-serif"/>
                <w:i/>
                <w:color w:val="000000"/>
                <w:sz w:val="18"/>
              </w:rPr>
              <w:t>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i/>
                <w:color w:val="000000"/>
                <w:sz w:val="18"/>
              </w:rPr>
            </w:pPr>
            <w:r>
              <w:rPr>
                <w:rFonts w:ascii="Roboto;sans-serif" w:hAnsi="Roboto;sans-serif"/>
                <w:i/>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i/>
                <w:color w:val="000000"/>
                <w:sz w:val="18"/>
              </w:rPr>
            </w:pPr>
            <w:r>
              <w:rPr>
                <w:rFonts w:ascii="Roboto;sans-serif" w:hAnsi="Roboto;sans-serif"/>
                <w:i/>
                <w:color w:val="000000"/>
                <w:sz w:val="18"/>
              </w:rPr>
              <w:t>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i/>
                <w:color w:val="000000"/>
                <w:sz w:val="18"/>
              </w:rPr>
            </w:pPr>
            <w:r>
              <w:rPr>
                <w:rFonts w:ascii="Roboto;sans-serif" w:hAnsi="Roboto;sans-serif"/>
                <w:i/>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i/>
                <w:color w:val="000000"/>
                <w:sz w:val="18"/>
              </w:rPr>
            </w:pPr>
            <w:r>
              <w:rPr>
                <w:rFonts w:ascii="Roboto;sans-serif" w:hAnsi="Roboto;sans-serif"/>
                <w:i/>
                <w:color w:val="000000"/>
                <w:sz w:val="18"/>
              </w:rPr>
              <w:t>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i/>
                <w:color w:val="000000"/>
                <w:sz w:val="18"/>
              </w:rPr>
            </w:pPr>
            <w:r>
              <w:rPr>
                <w:rFonts w:ascii="Roboto;sans-serif" w:hAnsi="Roboto;sans-serif"/>
                <w:i/>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i/>
                <w:color w:val="000000"/>
                <w:sz w:val="18"/>
              </w:rPr>
            </w:pPr>
            <w:r>
              <w:rPr>
                <w:rFonts w:ascii="Roboto;sans-serif" w:hAnsi="Roboto;sans-serif"/>
                <w:i/>
                <w:color w:val="000000"/>
                <w:sz w:val="18"/>
              </w:rPr>
              <w:t>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i/>
                <w:color w:val="000000"/>
                <w:sz w:val="18"/>
              </w:rPr>
            </w:pPr>
            <w:r>
              <w:rPr>
                <w:rFonts w:ascii="Roboto;sans-serif" w:hAnsi="Roboto;sans-serif"/>
                <w:i/>
                <w:color w:val="000000"/>
                <w:sz w:val="18"/>
              </w:rPr>
              <w:t>%</w:t>
            </w:r>
          </w:p>
        </w:tc>
      </w:tr>
      <w:tr>
        <w:trPr/>
        <w:tc>
          <w:tcPr>
            <w:tcW w:w="3710"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Interest income</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859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753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3,500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2,039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Interest expense</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(1,007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r>
      <w:tr>
        <w:trPr/>
        <w:tc>
          <w:tcPr>
            <w:tcW w:w="3710"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Other income, net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2,630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1,189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3,298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820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1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 xml:space="preserve">Income before provision for income taxes and </w:t>
              <w:br/>
              <w:t>non-controlling interest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9,620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10,232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32,962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24,636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0"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Income tax expense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6,002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2,170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11,339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5,717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1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Net income</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3,618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8,062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21,623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18,919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0"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Net income (loss) attributable to non-controlling interest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(264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(205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234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1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Net income attributable to Strattec</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3,882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8,267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20,598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18,685</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Earnings per share attributable to Strattec</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10"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Basic</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0.96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2.05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5.07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4.64</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1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Diluted</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0.95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2.01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5.00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4.58</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1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Weighted average shares outstanding:</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10"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Basic</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4,035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4,039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4,064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4,030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Diluted</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4,091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4,105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4,122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4,076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Roboto;sans-serif" w:hAnsi="Roboto;sans-serif"/>
          <w:b/>
          <w:smallCaps/>
          <w:color w:val="000000"/>
          <w:sz w:val="18"/>
        </w:rPr>
        <w:t>Strattec Transformation Delivers Margin Improvement and Strong Cash Generation in Fiscal 2026</w:t>
        <w:br/>
        <w:t>August 25, 2026</w:t>
        <w:br/>
        <w:t>Page 6</w:t>
      </w:r>
      <w:r>
        <w:rPr>
          <w:rFonts w:ascii="Times New Roman" w:hAnsi="Times New Roman"/>
          <w:smallCaps/>
          <w:color w:val="000000"/>
          <w:sz w:val="20"/>
        </w:rPr>
        <w:t xml:space="preserve"> </w:t>
      </w:r>
      <w:r>
        <w:rPr>
          <w:rFonts w:ascii="Roboto;sans-serif" w:hAnsi="Roboto;sans-serif"/>
          <w:b/>
          <w:smallCaps/>
          <w:color w:val="000000"/>
          <w:sz w:val="18"/>
        </w:rPr>
        <w:t>of 10</w:t>
      </w:r>
    </w:p>
    <w:tbl>
      <w:tblPr>
        <w:tblW w:w="10205" w:type="dxa"/>
        <w:jc w:val="left"/>
        <w:tblInd w:w="0" w:type="dxa"/>
        <w:tblLayout w:type="fixed"/>
        <w:tblCellMar>
          <w:top w:w="28" w:type="dxa"/>
          <w:left w:w="28" w:type="dxa"/>
          <w:bottom w:w="28" w:type="dxa"/>
          <w:right w:w="28" w:type="dxa"/>
        </w:tblCellMar>
      </w:tblPr>
      <w:tblGrid>
        <w:gridCol w:w="6788"/>
        <w:gridCol w:w="241"/>
        <w:gridCol w:w="991"/>
        <w:gridCol w:w="181"/>
        <w:gridCol w:w="146"/>
        <w:gridCol w:w="241"/>
        <w:gridCol w:w="991"/>
        <w:gridCol w:w="626"/>
      </w:tblGrid>
      <w:tr>
        <w:trPr/>
        <w:tc>
          <w:tcPr>
            <w:tcW w:w="67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9579"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Roboto;sans-serif" w:hAnsi="Roboto;sans-serif"/>
                <w:b/>
                <w:color w:val="000000"/>
                <w:sz w:val="28"/>
              </w:rPr>
            </w:pPr>
            <w:r>
              <w:rPr>
                <w:rFonts w:ascii="Roboto;sans-serif" w:hAnsi="Roboto;sans-serif"/>
                <w:b/>
                <w:color w:val="000000"/>
                <w:sz w:val="28"/>
              </w:rPr>
              <w:t>STRATTEC SECURITY CORPORATION</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79"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Roboto;sans-serif" w:hAnsi="Roboto;sans-serif"/>
                <w:b/>
                <w:color w:val="000000"/>
                <w:sz w:val="22"/>
              </w:rPr>
            </w:pPr>
            <w:r>
              <w:rPr>
                <w:rFonts w:ascii="Roboto;sans-serif" w:hAnsi="Roboto;sans-serif"/>
                <w:b/>
                <w:color w:val="000000"/>
                <w:sz w:val="22"/>
              </w:rPr>
              <w:t>CONDENSED CONSOLIDATED BALANCE SHEETS (UNAUDITED)</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79" w:type="dxa"/>
            <w:gridSpan w:val="7"/>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i/>
                <w:color w:val="000000"/>
                <w:sz w:val="20"/>
              </w:rPr>
            </w:pPr>
            <w:r>
              <w:rPr>
                <w:rFonts w:ascii="Roboto;sans-serif" w:hAnsi="Roboto;sans-serif"/>
                <w:b/>
                <w:i/>
                <w:color w:val="000000"/>
                <w:sz w:val="20"/>
              </w:rPr>
              <w:t>(in thousands, except share amounts)</w:t>
            </w:r>
          </w:p>
        </w:tc>
        <w:tc>
          <w:tcPr>
            <w:tcW w:w="6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20"/>
              </w:rPr>
            </w:pPr>
            <w:r>
              <w:rPr>
                <w:rFonts w:ascii="Roboto;sans-serif" w:hAnsi="Roboto;sans-serif"/>
                <w:b/>
                <w:color w:val="000000"/>
                <w:sz w:val="20"/>
              </w:rPr>
              <w:t>June 28,</w:t>
              <w:b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20"/>
              </w:rPr>
            </w:pPr>
            <w:r>
              <w:rPr>
                <w:rFonts w:ascii="Roboto;sans-serif" w:hAnsi="Roboto;sans-serif"/>
                <w:b/>
                <w:color w:val="000000"/>
                <w:sz w:val="20"/>
              </w:rPr>
              <w:t>June 29,</w:t>
              <w:br/>
              <w:t>2025</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ASSETS</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Current Assets:</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Cash and cash equivalents</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108,243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84,579</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Receivables, net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99,109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102,061</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Inventories, net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64,310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64,701</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Pre-production costs</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6,489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8,657</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Value-added tax recoverable</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10,069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19,389</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Other current assets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8,053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10,676</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Roboto;sans-serif" w:hAnsi="Roboto;sans-serif"/>
                <w:color w:val="000000"/>
                <w:sz w:val="20"/>
              </w:rPr>
            </w:pPr>
            <w:r>
              <w:rPr>
                <w:rFonts w:ascii="Roboto;sans-serif" w:hAnsi="Roboto;sans-serif"/>
                <w:color w:val="000000"/>
                <w:sz w:val="20"/>
              </w:rPr>
              <w:t>Total current assets</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296,273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290,063</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Noncurrent Assets:</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Property, plant and equipment, net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69,845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77,410</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Deferred income taxes</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16,080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19,531</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Other long-term assets</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5,281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4,450</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Total Assets</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387,479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391,454</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LIABILITIES AND SHAREHOLDERS’ EQUITY</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Current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Accounts payable</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54,973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65,824</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Accrued payroll and benefits</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20,773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22,956</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Value-added tax payable</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7,429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11,933</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Warranty reserve</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6,673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8,900</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Other current liabilities</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12,383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9,737</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Roboto;sans-serif" w:hAnsi="Roboto;sans-serif"/>
                <w:color w:val="000000"/>
                <w:sz w:val="20"/>
              </w:rPr>
            </w:pPr>
            <w:r>
              <w:rPr>
                <w:rFonts w:ascii="Roboto;sans-serif" w:hAnsi="Roboto;sans-serif"/>
                <w:color w:val="000000"/>
                <w:sz w:val="20"/>
              </w:rPr>
              <w:t>Total current liabilities</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102,231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119,350</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Noncurrent Liabilities:</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Borrowings under credit facilities</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8,000</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Post-employment benefits</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13,350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13,325</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Other noncurrent liabilities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6,401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4,348</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Total Liabilities</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121,982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145,023</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Shareholders’ Equity:</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Common stock, authorized 18,000,000 shares, $.01 par value, 7,704,994 issued shares at June 28, 2026 and 7,635,883 issued shares at June 29, 2025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77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76</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Capital in excess of par value</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107,138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103,784</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Retained earnings</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289,895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269,297</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Accumulated other comprehensive loss</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(14,143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(16,113</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Roboto;sans-serif" w:hAnsi="Roboto;sans-serif"/>
                <w:color w:val="000000"/>
                <w:sz w:val="20"/>
              </w:rPr>
            </w:pPr>
            <w:r>
              <w:rPr>
                <w:rFonts w:ascii="Roboto;sans-serif" w:hAnsi="Roboto;sans-serif"/>
                <w:color w:val="000000"/>
                <w:sz w:val="20"/>
              </w:rPr>
              <w:t>)</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Roboto;sans-serif" w:hAnsi="Roboto;sans-serif"/>
                <w:color w:val="000000"/>
                <w:sz w:val="20"/>
              </w:rPr>
            </w:pPr>
            <w:r>
              <w:rPr>
                <w:rFonts w:ascii="Roboto;sans-serif" w:hAnsi="Roboto;sans-serif"/>
                <w:color w:val="000000"/>
                <w:sz w:val="20"/>
              </w:rPr>
              <w:t>Less: treasury stock, at cost (3,727,322 shares at June 28, 2026 and 3,596,549 shares at June 29, 2025)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(144,321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(135,452</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Roboto;sans-serif" w:hAnsi="Roboto;sans-serif"/>
                <w:color w:val="000000"/>
                <w:sz w:val="20"/>
              </w:rPr>
            </w:pPr>
            <w:r>
              <w:rPr>
                <w:rFonts w:ascii="Roboto;sans-serif" w:hAnsi="Roboto;sans-serif"/>
                <w:color w:val="000000"/>
                <w:sz w:val="20"/>
              </w:rPr>
              <w:t>)</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Roboto;sans-serif" w:hAnsi="Roboto;sans-serif"/>
                <w:color w:val="000000"/>
                <w:sz w:val="20"/>
              </w:rPr>
            </w:pPr>
            <w:r>
              <w:rPr>
                <w:rFonts w:ascii="Roboto;sans-serif" w:hAnsi="Roboto;sans-serif"/>
                <w:color w:val="000000"/>
                <w:sz w:val="20"/>
              </w:rPr>
              <w:t>Total Strattec shareholders’ equity</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238,646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221,592</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Roboto;sans-serif" w:hAnsi="Roboto;sans-serif"/>
                <w:color w:val="000000"/>
                <w:sz w:val="20"/>
              </w:rPr>
            </w:pPr>
            <w:r>
              <w:rPr>
                <w:rFonts w:ascii="Roboto;sans-serif" w:hAnsi="Roboto;sans-serif"/>
                <w:color w:val="000000"/>
                <w:sz w:val="20"/>
              </w:rPr>
              <w:t>Non-controlling interest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26,851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24,839</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88"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Total Shareholders' Equity</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265,497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246,431</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387,479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391,454</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Roboto;sans-serif" w:hAnsi="Roboto;sans-serif"/>
          <w:b/>
          <w:smallCaps/>
          <w:color w:val="000000"/>
          <w:sz w:val="18"/>
        </w:rPr>
        <w:t>Strattec Transformation Delivers Margin Improvement and Strong Cash Generation in Fiscal 2026</w:t>
        <w:br/>
        <w:t>August 25, 2026</w:t>
        <w:br/>
        <w:t>Page 7</w:t>
      </w:r>
      <w:r>
        <w:rPr>
          <w:rFonts w:ascii="Times New Roman" w:hAnsi="Times New Roman"/>
          <w:smallCaps/>
          <w:color w:val="000000"/>
          <w:sz w:val="20"/>
        </w:rPr>
        <w:t xml:space="preserve"> </w:t>
      </w:r>
      <w:r>
        <w:rPr>
          <w:rFonts w:ascii="Roboto;sans-serif" w:hAnsi="Roboto;sans-serif"/>
          <w:b/>
          <w:smallCaps/>
          <w:color w:val="000000"/>
          <w:sz w:val="18"/>
        </w:rPr>
        <w:t>of 10</w:t>
      </w:r>
    </w:p>
    <w:tbl>
      <w:tblPr>
        <w:tblW w:w="10205" w:type="dxa"/>
        <w:jc w:val="left"/>
        <w:tblInd w:w="0" w:type="dxa"/>
        <w:tblLayout w:type="fixed"/>
        <w:tblCellMar>
          <w:top w:w="28" w:type="dxa"/>
          <w:left w:w="28" w:type="dxa"/>
          <w:bottom w:w="28" w:type="dxa"/>
          <w:right w:w="28" w:type="dxa"/>
        </w:tblCellMar>
      </w:tblPr>
      <w:tblGrid>
        <w:gridCol w:w="4490"/>
        <w:gridCol w:w="226"/>
        <w:gridCol w:w="886"/>
        <w:gridCol w:w="196"/>
        <w:gridCol w:w="146"/>
        <w:gridCol w:w="226"/>
        <w:gridCol w:w="856"/>
        <w:gridCol w:w="196"/>
        <w:gridCol w:w="146"/>
        <w:gridCol w:w="226"/>
        <w:gridCol w:w="946"/>
        <w:gridCol w:w="196"/>
        <w:gridCol w:w="146"/>
        <w:gridCol w:w="226"/>
        <w:gridCol w:w="856"/>
        <w:gridCol w:w="241"/>
      </w:tblGrid>
      <w:tr>
        <w:trPr/>
        <w:tc>
          <w:tcPr>
            <w:tcW w:w="44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9964"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Roboto;sans-serif" w:hAnsi="Roboto;sans-serif"/>
                <w:b/>
                <w:color w:val="000000"/>
                <w:sz w:val="28"/>
              </w:rPr>
            </w:pPr>
            <w:r>
              <w:rPr>
                <w:rFonts w:ascii="Roboto;sans-serif" w:hAnsi="Roboto;sans-serif"/>
                <w:b/>
                <w:color w:val="000000"/>
                <w:sz w:val="28"/>
              </w:rPr>
              <w:t>STRATTEC SECURITY CORPORATION</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64"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Roboto;sans-serif" w:hAnsi="Roboto;sans-serif"/>
                <w:b/>
                <w:color w:val="000000"/>
                <w:sz w:val="22"/>
              </w:rPr>
            </w:pPr>
            <w:r>
              <w:rPr>
                <w:rFonts w:ascii="Roboto;sans-serif" w:hAnsi="Roboto;sans-serif"/>
                <w:b/>
                <w:color w:val="000000"/>
                <w:sz w:val="22"/>
              </w:rPr>
              <w:t>CONDENSED CONSOLIDATED STATEMENTS OF CASH FLOWS (UNAUDITED)</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64" w:type="dxa"/>
            <w:gridSpan w:val="15"/>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i/>
                <w:color w:val="000000"/>
                <w:sz w:val="20"/>
              </w:rPr>
            </w:pPr>
            <w:r>
              <w:rPr>
                <w:rFonts w:ascii="Roboto;sans-serif" w:hAnsi="Roboto;sans-serif"/>
                <w:b/>
                <w:i/>
                <w:color w:val="000000"/>
                <w:sz w:val="20"/>
              </w:rPr>
              <w:t>(in thousands)</w:t>
            </w:r>
          </w:p>
        </w:tc>
        <w:tc>
          <w:tcPr>
            <w:tcW w:w="2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20"/>
              </w:rPr>
            </w:pPr>
            <w:r>
              <w:rPr>
                <w:rFonts w:ascii="Roboto;sans-serif" w:hAnsi="Roboto;sans-serif"/>
                <w:b/>
                <w:color w:val="000000"/>
                <w:sz w:val="20"/>
              </w:rPr>
              <w:t>Three Months Ended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20"/>
              </w:rPr>
            </w:pPr>
            <w:r>
              <w:rPr>
                <w:rFonts w:ascii="Roboto;sans-serif" w:hAnsi="Roboto;sans-serif"/>
                <w:b/>
                <w:color w:val="000000"/>
                <w:sz w:val="20"/>
              </w:rPr>
              <w:t>Twelve Months Ended</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20"/>
              </w:rPr>
            </w:pPr>
            <w:r>
              <w:rPr>
                <w:rFonts w:ascii="Roboto;sans-serif" w:hAnsi="Roboto;sans-serif"/>
                <w:b/>
                <w:color w:val="000000"/>
                <w:sz w:val="20"/>
              </w:rPr>
              <w:t>June 28,</w:t>
              <w:b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20"/>
              </w:rPr>
            </w:pPr>
            <w:r>
              <w:rPr>
                <w:rFonts w:ascii="Roboto;sans-serif" w:hAnsi="Roboto;sans-serif"/>
                <w:b/>
                <w:color w:val="000000"/>
                <w:sz w:val="20"/>
              </w:rPr>
              <w:t>June 29,</w:t>
              <w:b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20"/>
              </w:rPr>
            </w:pPr>
            <w:r>
              <w:rPr>
                <w:rFonts w:ascii="Roboto;sans-serif" w:hAnsi="Roboto;sans-serif"/>
                <w:b/>
                <w:color w:val="000000"/>
                <w:sz w:val="20"/>
              </w:rPr>
              <w:t>June 28,</w:t>
              <w:b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20"/>
              </w:rPr>
            </w:pPr>
            <w:r>
              <w:rPr>
                <w:rFonts w:ascii="Roboto;sans-serif" w:hAnsi="Roboto;sans-serif"/>
                <w:b/>
                <w:color w:val="000000"/>
                <w:sz w:val="20"/>
              </w:rPr>
              <w:t>June 29,</w:t>
              <w:b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OPERATING ACTIVITIES:</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0"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Net income</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3,618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8,062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21,623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18,919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Adjustments to reconcile net income to net cash provided by operating activities:</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90"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Depreciation</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3,635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3,812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15,085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14,764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Foreign currency transaction loss (gain)</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1,029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1,643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1,560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591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0"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Deferred income taxes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3,563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(1,890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3,563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(1,890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r>
      <w:tr>
        <w:trPr/>
        <w:tc>
          <w:tcPr>
            <w:tcW w:w="449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Stock-based compensation expense</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700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886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3,305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2,725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0"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Unrealized (gain) loss on peso forward contracts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(2,461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(2,545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349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(2,314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r>
      <w:tr>
        <w:trPr/>
        <w:tc>
          <w:tcPr>
            <w:tcW w:w="449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Other, net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240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271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345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1,348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0"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Change in operating assets and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9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Receivables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1,364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7,152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2,992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(3,085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r>
      <w:tr>
        <w:trPr/>
        <w:tc>
          <w:tcPr>
            <w:tcW w:w="4490"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Inventories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9,091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10,890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391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16,948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Prepaids and other assets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(2,516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6,033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9,466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12,027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0"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Accounts payable</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(9,497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(6,056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(10,431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10,674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Accrued liabilities</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888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1,918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(1,944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970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90"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Net cash provided by operating activities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9,654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30,176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46,304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71,677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INVESTING ACTIVITIES:</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90"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Purchase of property, plant and equipment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(1,415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(2,996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(7,328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(7,156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r>
      <w:tr>
        <w:trPr/>
        <w:tc>
          <w:tcPr>
            <w:tcW w:w="449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Proceeds from sale of property, plant and equipment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1,671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1,930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90"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Net cash (used in) provided by investing activities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256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(2,996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(5,398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(7,156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r>
      <w:tr>
        <w:trPr/>
        <w:tc>
          <w:tcPr>
            <w:tcW w:w="449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FINANCING ACTIVITIES:</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90"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Borrowings under credit facilities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3,000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Repayment of borrowings under credit facilities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(5,000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(8,000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(8,000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r>
      <w:tr>
        <w:trPr/>
        <w:tc>
          <w:tcPr>
            <w:tcW w:w="4490"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Payment for debt issuance costs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(132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Repurchases of common stock under share repurchase program</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(7,400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(7,400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0"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Payment for taxes withheld from stock-based awards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(89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(1,442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Share issuances</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64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61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90"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Net cash used in financing activities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(8,506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(4,983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(16,910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(4,939</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w:t>
            </w:r>
          </w:p>
        </w:tc>
      </w:tr>
      <w:tr>
        <w:trPr/>
        <w:tc>
          <w:tcPr>
            <w:tcW w:w="449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Foreign currency impact on cash</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(118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276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(332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(413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r>
      <w:tr>
        <w:trPr/>
        <w:tc>
          <w:tcPr>
            <w:tcW w:w="4490"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NET INCREASE IN CASH AND CASH EQUIVALENTS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1,286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22,473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23,664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b/>
                <w:color w:val="000000"/>
                <w:sz w:val="20"/>
              </w:rPr>
            </w:pPr>
            <w:r>
              <w:rPr>
                <w:rFonts w:ascii="Roboto;sans-serif" w:hAnsi="Roboto;sans-serif"/>
                <w:b/>
                <w:color w:val="000000"/>
                <w:sz w:val="20"/>
              </w:rPr>
              <w:t>59,169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90"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CASH AND CASH EQUIVALENTS</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90"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Beginning of period</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106,957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62,106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84,579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25,410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90"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End of period</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108,243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84,579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108,243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84,579</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Roboto;sans-serif" w:hAnsi="Roboto;sans-serif"/>
          <w:b/>
          <w:smallCaps/>
          <w:color w:val="000000"/>
          <w:sz w:val="18"/>
        </w:rPr>
        <w:t>Strattec Transformation Delivers Margin Improvement and Strong Cash Generation in Fiscal 2026</w:t>
        <w:br/>
        <w:t>August 25, 2026</w:t>
        <w:br/>
        <w:t>Page 8</w:t>
      </w:r>
      <w:r>
        <w:rPr>
          <w:rFonts w:ascii="Times New Roman" w:hAnsi="Times New Roman"/>
          <w:smallCaps/>
          <w:color w:val="000000"/>
          <w:sz w:val="20"/>
        </w:rPr>
        <w:t xml:space="preserve"> </w:t>
      </w:r>
      <w:r>
        <w:rPr>
          <w:rFonts w:ascii="Roboto;sans-serif" w:hAnsi="Roboto;sans-serif"/>
          <w:b/>
          <w:smallCaps/>
          <w:color w:val="000000"/>
          <w:sz w:val="18"/>
        </w:rPr>
        <w:t>of 10</w:t>
      </w:r>
    </w:p>
    <w:tbl>
      <w:tblPr>
        <w:tblW w:w="10205" w:type="dxa"/>
        <w:jc w:val="left"/>
        <w:tblInd w:w="0" w:type="dxa"/>
        <w:tblLayout w:type="fixed"/>
        <w:tblCellMar>
          <w:top w:w="28" w:type="dxa"/>
          <w:left w:w="28" w:type="dxa"/>
          <w:bottom w:w="28" w:type="dxa"/>
          <w:right w:w="28" w:type="dxa"/>
        </w:tblCellMar>
      </w:tblPr>
      <w:tblGrid>
        <w:gridCol w:w="5315"/>
        <w:gridCol w:w="226"/>
        <w:gridCol w:w="646"/>
        <w:gridCol w:w="181"/>
        <w:gridCol w:w="146"/>
        <w:gridCol w:w="226"/>
        <w:gridCol w:w="721"/>
        <w:gridCol w:w="181"/>
        <w:gridCol w:w="146"/>
        <w:gridCol w:w="226"/>
        <w:gridCol w:w="646"/>
        <w:gridCol w:w="181"/>
        <w:gridCol w:w="146"/>
        <w:gridCol w:w="226"/>
        <w:gridCol w:w="766"/>
        <w:gridCol w:w="226"/>
      </w:tblGrid>
      <w:tr>
        <w:trPr/>
        <w:tc>
          <w:tcPr>
            <w:tcW w:w="531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315"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20"/>
              </w:rPr>
            </w:pPr>
            <w:r>
              <w:rPr>
                <w:rFonts w:ascii="Roboto;sans-serif" w:hAnsi="Roboto;sans-serif"/>
                <w:b/>
                <w:color w:val="000000"/>
                <w:sz w:val="20"/>
              </w:rPr>
              <w:t>SUPPLEMENTAL DISCLOSURE OF CASH FLOW INFORMATION:</w:t>
            </w:r>
          </w:p>
        </w:tc>
        <w:tc>
          <w:tcPr>
            <w:tcW w:w="872" w:type="dxa"/>
            <w:gridSpan w:val="2"/>
            <w:tcBorders>
              <w:top w:val="double" w:sz="6"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81" w:type="dxa"/>
            <w:tcBorders>
              <w:top w:val="double" w:sz="6"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top w:val="double" w:sz="6"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81" w:type="dxa"/>
            <w:tcBorders>
              <w:top w:val="double" w:sz="6"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top w:val="double" w:sz="6"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81" w:type="dxa"/>
            <w:tcBorders>
              <w:top w:val="double" w:sz="6"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double" w:sz="6"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26" w:type="dxa"/>
            <w:tcBorders>
              <w:top w:val="double" w:sz="6"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Cash paid during the period for:</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15"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Income taxes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2,825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5,039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4,746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14,174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Interest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276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218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1,007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5"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Non-cash investing activities:</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Change in capital expenditures in accounts payable</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(1,148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(79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20"/>
              </w:rPr>
            </w:pPr>
            <w:r>
              <w:rPr>
                <w:rFonts w:ascii="Roboto;sans-serif" w:hAnsi="Roboto;sans-serif"/>
                <w:color w:val="000000"/>
                <w:sz w:val="20"/>
              </w:rPr>
              <w:t>(422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20"/>
              </w:rPr>
            </w:pPr>
            <w:r>
              <w:rPr>
                <w:rFonts w:ascii="Roboto;sans-serif" w:hAnsi="Roboto;sans-serif"/>
                <w:color w:val="000000"/>
                <w:sz w:val="20"/>
              </w:rPr>
              <w:t>)</w:t>
            </w:r>
          </w:p>
        </w:tc>
      </w:tr>
    </w:tbl>
    <w:p>
      <w:pPr>
        <w:pStyle w:val="TextBody"/>
        <w:bidi w:val="0"/>
        <w:spacing w:before="0" w:after="160"/>
        <w:jc w:val="center"/>
        <w:rPr/>
      </w:pPr>
      <w:r>
        <w:rPr/>
        <w:t> </w:t>
      </w:r>
    </w:p>
    <w:p>
      <w:pPr>
        <w:pStyle w:val="TextBody"/>
        <w:bidi w:val="0"/>
        <w:spacing w:before="0" w:after="16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Roboto;sans-serif" w:hAnsi="Roboto;sans-serif"/>
          <w:b/>
          <w:smallCaps/>
          <w:color w:val="000000"/>
          <w:sz w:val="18"/>
        </w:rPr>
        <w:t>Strattec Transformation Delivers Margin Improvement and Strong Cash Generation in Fiscal 2026</w:t>
        <w:br/>
        <w:t>August 25, 2026</w:t>
        <w:br/>
        <w:t>Page 9</w:t>
      </w:r>
      <w:r>
        <w:rPr>
          <w:rFonts w:ascii="Times New Roman" w:hAnsi="Times New Roman"/>
          <w:smallCaps/>
          <w:color w:val="000000"/>
          <w:sz w:val="20"/>
        </w:rPr>
        <w:t xml:space="preserve"> </w:t>
      </w:r>
      <w:r>
        <w:rPr>
          <w:rFonts w:ascii="Roboto;sans-serif" w:hAnsi="Roboto;sans-serif"/>
          <w:b/>
          <w:smallCaps/>
          <w:color w:val="000000"/>
          <w:sz w:val="18"/>
        </w:rPr>
        <w:t>of 10</w:t>
      </w:r>
    </w:p>
    <w:tbl>
      <w:tblPr>
        <w:tblW w:w="13298" w:type="dxa"/>
        <w:jc w:val="left"/>
        <w:tblInd w:w="0" w:type="dxa"/>
        <w:tblLayout w:type="fixed"/>
        <w:tblCellMar>
          <w:top w:w="28" w:type="dxa"/>
          <w:left w:w="28" w:type="dxa"/>
          <w:bottom w:w="28" w:type="dxa"/>
          <w:right w:w="28" w:type="dxa"/>
        </w:tblCellMar>
      </w:tblPr>
      <w:tblGrid>
        <w:gridCol w:w="1381"/>
        <w:gridCol w:w="146"/>
        <w:gridCol w:w="211"/>
        <w:gridCol w:w="691"/>
        <w:gridCol w:w="256"/>
        <w:gridCol w:w="211"/>
        <w:gridCol w:w="691"/>
        <w:gridCol w:w="256"/>
        <w:gridCol w:w="211"/>
        <w:gridCol w:w="691"/>
        <w:gridCol w:w="256"/>
        <w:gridCol w:w="211"/>
        <w:gridCol w:w="691"/>
        <w:gridCol w:w="256"/>
        <w:gridCol w:w="211"/>
        <w:gridCol w:w="691"/>
        <w:gridCol w:w="256"/>
        <w:gridCol w:w="146"/>
        <w:gridCol w:w="211"/>
        <w:gridCol w:w="691"/>
        <w:gridCol w:w="256"/>
        <w:gridCol w:w="211"/>
        <w:gridCol w:w="691"/>
        <w:gridCol w:w="256"/>
        <w:gridCol w:w="211"/>
        <w:gridCol w:w="691"/>
        <w:gridCol w:w="256"/>
        <w:gridCol w:w="211"/>
        <w:gridCol w:w="691"/>
        <w:gridCol w:w="256"/>
        <w:gridCol w:w="211"/>
        <w:gridCol w:w="691"/>
        <w:gridCol w:w="301"/>
      </w:tblGrid>
      <w:tr>
        <w:trPr/>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997" w:type="dxa"/>
            <w:gridSpan w:val="32"/>
            <w:tcBorders/>
            <w:shd w:fill="FFFFFF" w:val="clear"/>
            <w:tcMar>
              <w:top w:w="0" w:type="dxa"/>
              <w:left w:w="0" w:type="dxa"/>
              <w:bottom w:w="0" w:type="dxa"/>
              <w:right w:w="0" w:type="dxa"/>
            </w:tcMar>
            <w:vAlign w:val="center"/>
          </w:tcPr>
          <w:p>
            <w:pPr>
              <w:pStyle w:val="TableContents"/>
              <w:bidi w:val="0"/>
              <w:spacing w:before="0" w:after="283"/>
              <w:jc w:val="center"/>
              <w:rPr>
                <w:rFonts w:ascii="Roboto;sans-serif" w:hAnsi="Roboto;sans-serif"/>
                <w:b/>
                <w:color w:val="000000"/>
                <w:sz w:val="32"/>
              </w:rPr>
            </w:pPr>
            <w:r>
              <w:rPr>
                <w:rFonts w:ascii="Roboto;sans-serif" w:hAnsi="Roboto;sans-serif"/>
                <w:b/>
                <w:color w:val="000000"/>
                <w:sz w:val="32"/>
              </w:rPr>
              <w:t>STRATTEC SECURITY CORPORATION</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97" w:type="dxa"/>
            <w:gridSpan w:val="32"/>
            <w:tcBorders/>
            <w:shd w:fill="FFFFFF" w:val="clear"/>
            <w:tcMar>
              <w:top w:w="0" w:type="dxa"/>
              <w:left w:w="0" w:type="dxa"/>
              <w:bottom w:w="0" w:type="dxa"/>
              <w:right w:w="0" w:type="dxa"/>
            </w:tcMar>
            <w:vAlign w:val="center"/>
          </w:tcPr>
          <w:p>
            <w:pPr>
              <w:pStyle w:val="TableContents"/>
              <w:bidi w:val="0"/>
              <w:spacing w:before="0" w:after="283"/>
              <w:jc w:val="center"/>
              <w:rPr>
                <w:rFonts w:ascii="Roboto;sans-serif" w:hAnsi="Roboto;sans-serif"/>
                <w:b/>
                <w:color w:val="000000"/>
                <w:sz w:val="22"/>
              </w:rPr>
            </w:pPr>
            <w:r>
              <w:rPr>
                <w:rFonts w:ascii="Roboto;sans-serif" w:hAnsi="Roboto;sans-serif"/>
                <w:b/>
                <w:color w:val="000000"/>
                <w:sz w:val="22"/>
              </w:rPr>
              <w:t>RECONCILIATION OF GAAP TO NON-GAAP FINANCIAL MEASURES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97" w:type="dxa"/>
            <w:gridSpan w:val="3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i/>
                <w:color w:val="000000"/>
                <w:sz w:val="20"/>
              </w:rPr>
            </w:pPr>
            <w:r>
              <w:rPr>
                <w:rFonts w:ascii="Roboto;sans-serif" w:hAnsi="Roboto;sans-serif"/>
                <w:b/>
                <w:i/>
                <w:color w:val="000000"/>
                <w:sz w:val="20"/>
              </w:rPr>
              <w:t>(in thousands, except per share amounts)</w:t>
            </w:r>
          </w:p>
        </w:tc>
        <w:tc>
          <w:tcPr>
            <w:tcW w:w="3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16"/>
              </w:rPr>
            </w:pPr>
            <w:r>
              <w:rPr>
                <w:rFonts w:ascii="Roboto;sans-serif" w:hAnsi="Roboto;sans-serif"/>
                <w:b/>
                <w:color w:val="000000"/>
                <w:sz w:val="16"/>
              </w:rPr>
              <w:t>Fiscal 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16"/>
              </w:rPr>
            </w:pPr>
            <w:r>
              <w:rPr>
                <w:rFonts w:ascii="Roboto;sans-serif" w:hAnsi="Roboto;sans-serif"/>
                <w:b/>
                <w:color w:val="000000"/>
                <w:sz w:val="16"/>
              </w:rPr>
              <w:t>Fiscal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16"/>
              </w:rPr>
            </w:pPr>
            <w:r>
              <w:rPr>
                <w:rFonts w:ascii="Roboto;sans-serif" w:hAnsi="Roboto;sans-serif"/>
                <w:b/>
                <w:color w:val="000000"/>
                <w:sz w:val="16"/>
              </w:rPr>
              <w:t>Q1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16"/>
              </w:rPr>
            </w:pPr>
            <w:r>
              <w:rPr>
                <w:rFonts w:ascii="Roboto;sans-serif" w:hAnsi="Roboto;sans-serif"/>
                <w:b/>
                <w:color w:val="000000"/>
                <w:sz w:val="16"/>
              </w:rPr>
              <w:t>Q2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16"/>
              </w:rPr>
            </w:pPr>
            <w:r>
              <w:rPr>
                <w:rFonts w:ascii="Roboto;sans-serif" w:hAnsi="Roboto;sans-serif"/>
                <w:b/>
                <w:color w:val="000000"/>
                <w:sz w:val="16"/>
              </w:rPr>
              <w:t>Q3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16"/>
              </w:rPr>
            </w:pPr>
            <w:r>
              <w:rPr>
                <w:rFonts w:ascii="Roboto;sans-serif" w:hAnsi="Roboto;sans-serif"/>
                <w:b/>
                <w:color w:val="000000"/>
                <w:sz w:val="16"/>
              </w:rPr>
              <w:t>Q4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16"/>
              </w:rPr>
            </w:pPr>
            <w:r>
              <w:rPr>
                <w:rFonts w:ascii="Roboto;sans-serif" w:hAnsi="Roboto;sans-serif"/>
                <w:b/>
                <w:color w:val="000000"/>
                <w:sz w:val="16"/>
              </w:rPr>
              <w:t>Total</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16"/>
              </w:rPr>
            </w:pPr>
            <w:r>
              <w:rPr>
                <w:rFonts w:ascii="Roboto;sans-serif" w:hAnsi="Roboto;sans-serif"/>
                <w:b/>
                <w:color w:val="000000"/>
                <w:sz w:val="16"/>
              </w:rPr>
              <w:t>Q1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16"/>
              </w:rPr>
            </w:pPr>
            <w:r>
              <w:rPr>
                <w:rFonts w:ascii="Roboto;sans-serif" w:hAnsi="Roboto;sans-serif"/>
                <w:b/>
                <w:color w:val="000000"/>
                <w:sz w:val="16"/>
              </w:rPr>
              <w:t>Q2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16"/>
              </w:rPr>
            </w:pPr>
            <w:r>
              <w:rPr>
                <w:rFonts w:ascii="Roboto;sans-serif" w:hAnsi="Roboto;sans-serif"/>
                <w:b/>
                <w:color w:val="000000"/>
                <w:sz w:val="16"/>
              </w:rPr>
              <w:t>Q3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16"/>
              </w:rPr>
            </w:pPr>
            <w:r>
              <w:rPr>
                <w:rFonts w:ascii="Roboto;sans-serif" w:hAnsi="Roboto;sans-serif"/>
                <w:b/>
                <w:color w:val="000000"/>
                <w:sz w:val="16"/>
              </w:rPr>
              <w:t>Q4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Roboto;sans-serif" w:hAnsi="Roboto;sans-serif"/>
                <w:b/>
                <w:color w:val="000000"/>
                <w:sz w:val="16"/>
              </w:rPr>
            </w:pPr>
            <w:r>
              <w:rPr>
                <w:rFonts w:ascii="Roboto;sans-serif" w:hAnsi="Roboto;sans-serif"/>
                <w:b/>
                <w:color w:val="000000"/>
                <w:sz w:val="16"/>
              </w:rPr>
              <w:t>Total</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16"/>
              </w:rPr>
            </w:pPr>
            <w:r>
              <w:rPr>
                <w:rFonts w:ascii="Roboto;sans-serif" w:hAnsi="Roboto;sans-serif"/>
                <w:b/>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Net Sales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4"/>
              </w:rPr>
            </w:pPr>
            <w:r>
              <w:rPr>
                <w:rFonts w:ascii="Roboto;sans-serif" w:hAnsi="Roboto;sans-serif"/>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4"/>
              </w:rPr>
            </w:pPr>
            <w:r>
              <w:rPr>
                <w:rFonts w:ascii="Roboto;sans-serif" w:hAnsi="Roboto;sans-serif"/>
                <w:color w:val="000000"/>
                <w:sz w:val="14"/>
              </w:rPr>
              <w:t>139,052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4"/>
              </w:rPr>
            </w:pPr>
            <w:r>
              <w:rPr>
                <w:rFonts w:ascii="Roboto;sans-serif" w:hAnsi="Roboto;sans-serif"/>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4"/>
              </w:rPr>
            </w:pPr>
            <w:r>
              <w:rPr>
                <w:rFonts w:ascii="Roboto;sans-serif" w:hAnsi="Roboto;sans-serif"/>
                <w:color w:val="000000"/>
                <w:sz w:val="14"/>
              </w:rPr>
              <w:t>129,919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4"/>
              </w:rPr>
            </w:pPr>
            <w:r>
              <w:rPr>
                <w:rFonts w:ascii="Roboto;sans-serif" w:hAnsi="Roboto;sans-serif"/>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4"/>
              </w:rPr>
            </w:pPr>
            <w:r>
              <w:rPr>
                <w:rFonts w:ascii="Roboto;sans-serif" w:hAnsi="Roboto;sans-serif"/>
                <w:color w:val="000000"/>
                <w:sz w:val="14"/>
              </w:rPr>
              <w:t>144,082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4"/>
              </w:rPr>
            </w:pPr>
            <w:r>
              <w:rPr>
                <w:rFonts w:ascii="Roboto;sans-serif" w:hAnsi="Roboto;sans-serif"/>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4"/>
              </w:rPr>
            </w:pPr>
            <w:r>
              <w:rPr>
                <w:rFonts w:ascii="Roboto;sans-serif" w:hAnsi="Roboto;sans-serif"/>
                <w:color w:val="000000"/>
                <w:sz w:val="14"/>
              </w:rPr>
              <w:t>152,013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4"/>
              </w:rPr>
            </w:pPr>
            <w:r>
              <w:rPr>
                <w:rFonts w:ascii="Roboto;sans-serif" w:hAnsi="Roboto;sans-serif"/>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4"/>
              </w:rPr>
            </w:pPr>
            <w:r>
              <w:rPr>
                <w:rFonts w:ascii="Roboto;sans-serif" w:hAnsi="Roboto;sans-serif"/>
                <w:color w:val="000000"/>
                <w:sz w:val="14"/>
              </w:rPr>
              <w:t>565,066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4"/>
              </w:rPr>
            </w:pPr>
            <w:r>
              <w:rPr>
                <w:rFonts w:ascii="Roboto;sans-serif" w:hAnsi="Roboto;sans-serif"/>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4"/>
              </w:rPr>
            </w:pPr>
            <w:r>
              <w:rPr>
                <w:rFonts w:ascii="Roboto;sans-serif" w:hAnsi="Roboto;sans-serif"/>
                <w:color w:val="000000"/>
                <w:sz w:val="14"/>
              </w:rPr>
              <w:t>152,399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4"/>
              </w:rPr>
            </w:pPr>
            <w:r>
              <w:rPr>
                <w:rFonts w:ascii="Roboto;sans-serif" w:hAnsi="Roboto;sans-serif"/>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4"/>
              </w:rPr>
            </w:pPr>
            <w:r>
              <w:rPr>
                <w:rFonts w:ascii="Roboto;sans-serif" w:hAnsi="Roboto;sans-serif"/>
                <w:color w:val="000000"/>
                <w:sz w:val="14"/>
              </w:rPr>
              <w:t>137,534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4"/>
              </w:rPr>
            </w:pPr>
            <w:r>
              <w:rPr>
                <w:rFonts w:ascii="Roboto;sans-serif" w:hAnsi="Roboto;sans-serif"/>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4"/>
              </w:rPr>
            </w:pPr>
            <w:r>
              <w:rPr>
                <w:rFonts w:ascii="Roboto;sans-serif" w:hAnsi="Roboto;sans-serif"/>
                <w:color w:val="000000"/>
                <w:sz w:val="14"/>
              </w:rPr>
              <w:t>137,632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4"/>
              </w:rPr>
            </w:pPr>
            <w:r>
              <w:rPr>
                <w:rFonts w:ascii="Roboto;sans-serif" w:hAnsi="Roboto;sans-serif"/>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4"/>
              </w:rPr>
            </w:pPr>
            <w:r>
              <w:rPr>
                <w:rFonts w:ascii="Roboto;sans-serif" w:hAnsi="Roboto;sans-serif"/>
                <w:color w:val="000000"/>
                <w:sz w:val="14"/>
              </w:rPr>
              <w:t>151,827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4"/>
              </w:rPr>
            </w:pPr>
            <w:r>
              <w:rPr>
                <w:rFonts w:ascii="Roboto;sans-serif" w:hAnsi="Roboto;sans-serif"/>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4"/>
              </w:rPr>
            </w:pPr>
            <w:r>
              <w:rPr>
                <w:rFonts w:ascii="Roboto;sans-serif" w:hAnsi="Roboto;sans-serif"/>
                <w:color w:val="000000"/>
                <w:sz w:val="14"/>
              </w:rPr>
              <w:t>579,392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16"/>
              </w:rPr>
            </w:pPr>
            <w:r>
              <w:rPr>
                <w:rFonts w:ascii="Roboto;sans-serif" w:hAnsi="Roboto;sans-serif"/>
                <w:b/>
                <w:color w:val="000000"/>
                <w:sz w:val="16"/>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Net income attributable to Strattec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3,703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1,319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5,396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8,267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18,685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8,529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4,947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3,240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3,882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20,598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Net income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315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696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585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1,025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1,498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405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1,644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2,170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5,717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2,356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1,699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1,282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6,002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11,339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482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(1,189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(820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(1,691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748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(2,630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(3,298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(349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(529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(753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(2,039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(877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(885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(879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(859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(3,500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295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257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243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212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1,007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156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96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70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37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359</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5,063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2,134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7,085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8,502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22,784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10,447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4,862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5,046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6,168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26,523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3,662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3,544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3,746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3,812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14,764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3,785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3,893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3,772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3,635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15,085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Non-cash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188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891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760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887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2,726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669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1,125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811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700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3,305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Restructuring and similar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809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(676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398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1,305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1,699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Cancelled program settlements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(1,323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(1,323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Executive transition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941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921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2,058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88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887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Business transformation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74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215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259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479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1,027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514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994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960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1,824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4,292</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4,865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5,836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5,788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4,485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20,974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5,104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7,405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5,067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6,369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23,945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Adjusted EBITDA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9,928</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7,970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12,873</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12,987</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43,758</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15,551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12,267</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10,113</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12,537</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50,468</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Adjusted EBITDA as a % of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7.1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6.1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8.9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8.5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7.7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10.2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8.9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7.3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8.3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8.7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b/>
                <w:color w:val="000000"/>
                <w:sz w:val="16"/>
              </w:rPr>
            </w:pPr>
            <w:r>
              <w:rPr>
                <w:rFonts w:ascii="Roboto;sans-serif" w:hAnsi="Roboto;sans-serif"/>
                <w:b/>
                <w:color w:val="000000"/>
                <w:sz w:val="16"/>
              </w:rPr>
              <w:t>ADJUSTED NET INCOME AND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Net income attributable to Strattec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3,703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1,319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5,396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8,267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18,685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8,529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4,947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3,240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3,882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20,598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Restructuring and similar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809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(676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398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570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1,165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572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2,356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Cancelled program 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(1,323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(1,323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Roboto;sans-serif" w:hAnsi="Roboto;sans-serif"/>
          <w:b/>
          <w:smallCaps/>
          <w:color w:val="000000"/>
          <w:sz w:val="18"/>
        </w:rPr>
        <w:t>Strattec Transformation Delivers Margin Improvement and Strong Cash Generation in Fiscal 2026</w:t>
        <w:br/>
        <w:t>August 25, 2026</w:t>
        <w:br/>
        <w:t>Page 10</w:t>
      </w:r>
      <w:r>
        <w:rPr>
          <w:rFonts w:ascii="Times New Roman" w:hAnsi="Times New Roman"/>
          <w:smallCaps/>
          <w:color w:val="000000"/>
          <w:sz w:val="20"/>
        </w:rPr>
        <w:t xml:space="preserve"> </w:t>
      </w:r>
      <w:r>
        <w:rPr>
          <w:rFonts w:ascii="Roboto;sans-serif" w:hAnsi="Roboto;sans-serif"/>
          <w:b/>
          <w:smallCaps/>
          <w:color w:val="000000"/>
          <w:sz w:val="18"/>
        </w:rPr>
        <w:t>of 10</w:t>
      </w:r>
    </w:p>
    <w:tbl>
      <w:tblPr>
        <w:tblW w:w="11363" w:type="dxa"/>
        <w:jc w:val="left"/>
        <w:tblInd w:w="0" w:type="dxa"/>
        <w:tblLayout w:type="fixed"/>
        <w:tblCellMar>
          <w:top w:w="28" w:type="dxa"/>
          <w:left w:w="28" w:type="dxa"/>
          <w:bottom w:w="28" w:type="dxa"/>
          <w:right w:w="28" w:type="dxa"/>
        </w:tblCellMar>
      </w:tblPr>
      <w:tblGrid>
        <w:gridCol w:w="1396"/>
        <w:gridCol w:w="146"/>
        <w:gridCol w:w="211"/>
        <w:gridCol w:w="571"/>
        <w:gridCol w:w="166"/>
        <w:gridCol w:w="211"/>
        <w:gridCol w:w="571"/>
        <w:gridCol w:w="166"/>
        <w:gridCol w:w="211"/>
        <w:gridCol w:w="571"/>
        <w:gridCol w:w="166"/>
        <w:gridCol w:w="211"/>
        <w:gridCol w:w="571"/>
        <w:gridCol w:w="146"/>
        <w:gridCol w:w="211"/>
        <w:gridCol w:w="676"/>
        <w:gridCol w:w="166"/>
        <w:gridCol w:w="146"/>
        <w:gridCol w:w="211"/>
        <w:gridCol w:w="571"/>
        <w:gridCol w:w="166"/>
        <w:gridCol w:w="211"/>
        <w:gridCol w:w="571"/>
        <w:gridCol w:w="166"/>
        <w:gridCol w:w="211"/>
        <w:gridCol w:w="571"/>
        <w:gridCol w:w="166"/>
        <w:gridCol w:w="211"/>
        <w:gridCol w:w="571"/>
        <w:gridCol w:w="146"/>
        <w:gridCol w:w="211"/>
        <w:gridCol w:w="676"/>
        <w:gridCol w:w="191"/>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Executive transition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887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Business transformation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4,292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Non-controlling interest impact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Tax effect on above adjustments and other discrete tax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(384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(945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(383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2,388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1,531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1,006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1,321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746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3,258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641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4,529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7,756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Adjusted Net Income attributable to Strattec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4,709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2,640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6,142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8,452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21,943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9,170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7,049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3,724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8,411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28,354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Weighted Average Basic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4,064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Weighted Average Diluted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4,122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Diluted earnings per share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0.95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Adjusted dilutive earnings per share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6"/>
              </w:rPr>
            </w:pPr>
            <w:r>
              <w:rPr>
                <w:rFonts w:ascii="Roboto;sans-serif" w:hAnsi="Roboto;sans-serif"/>
                <w:color w:val="000000"/>
                <w:sz w:val="16"/>
              </w:rPr>
              <w:t>6.88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Roboto">
    <w:altName w:val="sans-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3786</Words>
  <Characters>20462</Characters>
  <CharactersWithSpaces>24981</CharactersWithSpaces>
  <Paragraphs>2818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