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trt-20261029.htm"/>
      <w:bookmarkStart w:id="1" w:name="ksstrt20261029"/>
      <w:bookmarkEnd w:id="0"/>
      <w:bookmarkEnd w:id="1"/>
      <w:r>
        <w:drawing>
          <wp:anchor behindDoc="0" distT="0" distB="0" distL="0" distR="0" simplePos="0" locked="0" layoutInCell="1" allowOverlap="1" relativeHeight="2">
            <wp:simplePos x="0" y="0"/>
            <wp:positionH relativeFrom="page">
              <wp:posOffset>914400</wp:posOffset>
            </wp:positionH>
            <wp:positionV relativeFrom="page">
              <wp:posOffset>91440</wp:posOffset>
            </wp:positionV>
            <wp:extent cx="2359025" cy="539750"/>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9025" cy="539750"/>
                    </a:xfrm>
                    <a:prstGeom prst="rect">
                      <a:avLst/>
                    </a:prstGeom>
                  </pic:spPr>
                </pic:pic>
              </a:graphicData>
            </a:graphic>
          </wp:anchor>
        </w:drawing>
      </w:r>
      <w:r>
        <w:rPr/>
        <w:t> </w:t>
      </w:r>
    </w:p>
    <w:p>
      <w:pPr>
        <w:pStyle w:val="TextBody"/>
        <w:bidi w:val="0"/>
        <w:spacing w:before="88"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2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64"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264" w:after="283"/>
        <w:jc w:val="center"/>
        <w:rPr>
          <w:rFonts w:ascii="Times New Roman" w:hAnsi="Times New Roman"/>
          <w:b/>
          <w:color w:val="000000"/>
          <w:sz w:val="24"/>
        </w:rPr>
      </w:pPr>
      <w:r>
        <w:rPr>
          <w:rFonts w:ascii="Times New Roman" w:hAnsi="Times New Roman"/>
          <w:b/>
          <w:color w:val="000000"/>
          <w:sz w:val="24"/>
        </w:rPr>
        <w:t>Date of report (Date of earliest event reported): October 29, 2026</w:t>
      </w:r>
    </w:p>
    <w:p>
      <w:pPr>
        <w:pStyle w:val="TextBody"/>
        <w:bidi w:val="0"/>
        <w:jc w:val="center"/>
        <w:rPr>
          <w:rFonts w:ascii="Times New Roman" w:hAnsi="Times New Roman"/>
          <w:b/>
          <w:color w:val="000000"/>
          <w:sz w:val="44"/>
        </w:rPr>
      </w:pPr>
      <w:r>
        <w:rPr>
          <w:rFonts w:ascii="Times New Roman" w:hAnsi="Times New Roman"/>
          <w:b/>
          <w:color w:val="000000"/>
          <w:sz w:val="44"/>
        </w:rPr>
        <w:t>STRATTEC SECURITY CORPORATION</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Charter) </w:t>
      </w:r>
    </w:p>
    <w:tbl>
      <w:tblPr>
        <w:tblW w:w="4676" w:type="dxa"/>
        <w:jc w:val="left"/>
        <w:tblInd w:w="0" w:type="dxa"/>
        <w:tblLayout w:type="fixed"/>
        <w:tblCellMar>
          <w:top w:w="28" w:type="dxa"/>
          <w:left w:w="28" w:type="dxa"/>
          <w:bottom w:w="28" w:type="dxa"/>
          <w:right w:w="28" w:type="dxa"/>
        </w:tblCellMar>
      </w:tblPr>
      <w:tblGrid>
        <w:gridCol w:w="1981"/>
        <w:gridCol w:w="109"/>
        <w:gridCol w:w="1036"/>
        <w:gridCol w:w="109"/>
        <w:gridCol w:w="1441"/>
      </w:tblGrid>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0-25150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39-1804239</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(Commission</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Identification No.)</w:t>
            </w:r>
          </w:p>
        </w:tc>
      </w:tr>
      <w:tr>
        <w:trPr/>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3333 West Good Hope Road, Milwaukee, Wisconsin</w:t>
      </w:r>
      <w:r>
        <w:rPr>
          <w:rFonts w:ascii="Times New Roman" w:hAnsi="Times New Roman"/>
          <w:color w:val="000000"/>
          <w:sz w:val="20"/>
        </w:rPr>
        <w:t xml:space="preserve"> </w:t>
      </w:r>
      <w:r>
        <w:rPr>
          <w:rFonts w:ascii="Times New Roman" w:hAnsi="Times New Roman"/>
          <w:b/>
          <w:color w:val="000000"/>
          <w:sz w:val="20"/>
        </w:rPr>
        <w:t>53209</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and Zip Code)</w:t>
      </w:r>
    </w:p>
    <w:p>
      <w:pPr>
        <w:pStyle w:val="TextBody"/>
        <w:bidi w:val="0"/>
        <w:spacing w:before="120" w:after="283"/>
        <w:jc w:val="center"/>
        <w:rPr>
          <w:rFonts w:ascii="Times New Roman" w:hAnsi="Times New Roman"/>
          <w:sz w:val="20"/>
        </w:rPr>
      </w:pPr>
      <w:r>
        <w:rPr>
          <w:rFonts w:ascii="Times New Roman" w:hAnsi="Times New Roman"/>
          <w:b/>
          <w:color w:val="000000"/>
          <w:sz w:val="20"/>
        </w:rPr>
        <w:t>(414)</w:t>
      </w:r>
      <w:r>
        <w:rPr>
          <w:rFonts w:ascii="Times New Roman" w:hAnsi="Times New Roman"/>
          <w:color w:val="000000"/>
          <w:sz w:val="20"/>
        </w:rPr>
        <w:t xml:space="preserve"> </w:t>
      </w:r>
      <w:r>
        <w:rPr>
          <w:rFonts w:ascii="Times New Roman" w:hAnsi="Times New Roman"/>
          <w:b/>
          <w:color w:val="000000"/>
          <w:sz w:val="20"/>
        </w:rPr>
        <w:t>247-3333</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76" w:type="dxa"/>
        <w:jc w:val="left"/>
        <w:tblInd w:w="0" w:type="dxa"/>
        <w:tblLayout w:type="fixed"/>
        <w:tblCellMar>
          <w:top w:w="28" w:type="dxa"/>
          <w:left w:w="28" w:type="dxa"/>
          <w:bottom w:w="28" w:type="dxa"/>
          <w:right w:w="28" w:type="dxa"/>
        </w:tblCellMar>
      </w:tblPr>
      <w:tblGrid>
        <w:gridCol w:w="124"/>
        <w:gridCol w:w="31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 pursuant to Rule 425 under the Securities Act (17 CFR 230.425)</w:t>
            </w:r>
          </w:p>
        </w:tc>
      </w:tr>
    </w:tbl>
    <w:tbl>
      <w:tblPr>
        <w:tblW w:w="7881" w:type="dxa"/>
        <w:jc w:val="left"/>
        <w:tblInd w:w="0" w:type="dxa"/>
        <w:tblLayout w:type="fixed"/>
        <w:tblCellMar>
          <w:top w:w="28" w:type="dxa"/>
          <w:left w:w="28" w:type="dxa"/>
          <w:bottom w:w="28" w:type="dxa"/>
          <w:right w:w="28"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46" w:type="dxa"/>
        <w:jc w:val="left"/>
        <w:tblInd w:w="0" w:type="dxa"/>
        <w:tblLayout w:type="fixed"/>
        <w:tblCellMar>
          <w:top w:w="28" w:type="dxa"/>
          <w:left w:w="28" w:type="dxa"/>
          <w:bottom w:w="28" w:type="dxa"/>
          <w:right w:w="28" w:type="dxa"/>
        </w:tblCellMar>
      </w:tblPr>
      <w:tblGrid>
        <w:gridCol w:w="124"/>
        <w:gridCol w:w="31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14d-2(b) under the Exchange Act (17 CFR 240.14d-2(b))</w:t>
            </w:r>
          </w:p>
        </w:tc>
      </w:tr>
    </w:tbl>
    <w:tbl>
      <w:tblPr>
        <w:tblW w:w="9486" w:type="dxa"/>
        <w:jc w:val="left"/>
        <w:tblInd w:w="0" w:type="dxa"/>
        <w:tblLayout w:type="fixed"/>
        <w:tblCellMar>
          <w:top w:w="28" w:type="dxa"/>
          <w:left w:w="28" w:type="dxa"/>
          <w:bottom w:w="28" w:type="dxa"/>
          <w:right w:w="28"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Pre-commencement communication pursuant to Rule 13e-4(c) under the Exchange Act (17 CFR 240.13e-4(c))</w:t>
            </w:r>
          </w:p>
          <w:p>
            <w:pPr>
              <w:pStyle w:val="TableContents"/>
              <w:bidi w:val="0"/>
              <w:spacing w:before="0" w:after="283"/>
              <w:jc w:val="left"/>
              <w:rPr/>
            </w:pPr>
            <w:r>
              <w:rPr/>
              <w:t> </w:t>
            </w:r>
          </w:p>
        </w:tc>
      </w:tr>
    </w:tbl>
    <w:p>
      <w:pPr>
        <w:pStyle w:val="TextBody"/>
        <w:bidi w:val="0"/>
        <w:spacing w:before="12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7465" w:type="dxa"/>
        <w:jc w:val="left"/>
        <w:tblInd w:w="0" w:type="dxa"/>
        <w:tblLayout w:type="fixed"/>
        <w:tblCellMar>
          <w:top w:w="28" w:type="dxa"/>
          <w:left w:w="28" w:type="dxa"/>
          <w:bottom w:w="28" w:type="dxa"/>
          <w:right w:w="28" w:type="dxa"/>
        </w:tblCellMar>
      </w:tblPr>
      <w:tblGrid>
        <w:gridCol w:w="2326"/>
        <w:gridCol w:w="146"/>
        <w:gridCol w:w="1366"/>
        <w:gridCol w:w="146"/>
        <w:gridCol w:w="348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136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32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 $.01 par value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36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STRT</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48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The Nasdaq Global Stock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6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1051"/>
        <w:gridCol w:w="4726"/>
      </w:tblGrid>
      <w:tr>
        <w:trPr/>
        <w:tc>
          <w:tcPr>
            <w:tcW w:w="1051" w:type="dxa"/>
            <w:tcBorders/>
            <w:vAlign w:val="center"/>
          </w:tcPr>
          <w:p>
            <w:pPr>
              <w:pStyle w:val="TableContents"/>
              <w:bidi w:val="0"/>
              <w:spacing w:before="0" w:after="283"/>
              <w:jc w:val="left"/>
              <w:rPr>
                <w:sz w:val="4"/>
                <w:szCs w:val="4"/>
              </w:rPr>
            </w:pPr>
            <w:r>
              <w:rPr>
                <w:sz w:val="4"/>
                <w:szCs w:val="4"/>
              </w:rPr>
            </w:r>
          </w:p>
        </w:tc>
        <w:tc>
          <w:tcPr>
            <w:tcW w:w="4726"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Item 2.02</w:t>
            </w:r>
          </w:p>
        </w:tc>
        <w:tc>
          <w:tcPr>
            <w:tcW w:w="4726"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sz w:val="22"/>
              </w:rPr>
            </w:pPr>
            <w:r>
              <w:rPr>
                <w:rFonts w:ascii="Times New Roman" w:hAnsi="Times New Roman"/>
                <w:b/>
                <w:color w:val="000000"/>
                <w:sz w:val="22"/>
              </w:rPr>
              <w:t>Results of Operations and Financial Condition</w:t>
            </w:r>
            <w:r>
              <w:rPr>
                <w:rFonts w:ascii="Times New Roman" w:hAnsi="Times New Roman"/>
                <w:color w:val="000000"/>
                <w:sz w:val="22"/>
              </w:rPr>
              <w:t>.</w:t>
            </w:r>
          </w:p>
        </w:tc>
      </w:tr>
    </w:tbl>
    <w:p>
      <w:pPr>
        <w:pStyle w:val="TextBody"/>
        <w:bidi w:val="0"/>
        <w:spacing w:before="120" w:after="160"/>
        <w:jc w:val="both"/>
        <w:rPr>
          <w:rFonts w:ascii="Times New Roman" w:hAnsi="Times New Roman"/>
          <w:sz w:val="22"/>
        </w:rPr>
      </w:pPr>
      <w:r>
        <w:rPr>
          <w:rFonts w:ascii="Times New Roman" w:hAnsi="Times New Roman"/>
          <w:color w:val="000000"/>
          <w:sz w:val="22"/>
        </w:rPr>
        <w:t>On October 29, 2026, Strattec Security Corporation (the “</w:t>
      </w:r>
      <w:r>
        <w:rPr>
          <w:rFonts w:ascii="Times New Roman" w:hAnsi="Times New Roman"/>
          <w:color w:val="000000"/>
          <w:sz w:val="22"/>
          <w:u w:val="single"/>
        </w:rPr>
        <w:t>Company</w:t>
      </w:r>
      <w:r>
        <w:rPr>
          <w:rFonts w:ascii="Times New Roman" w:hAnsi="Times New Roman"/>
          <w:color w:val="000000"/>
          <w:sz w:val="22"/>
        </w:rPr>
        <w:t>”) issued a press release (the “</w:t>
      </w:r>
      <w:r>
        <w:rPr>
          <w:rFonts w:ascii="Times New Roman" w:hAnsi="Times New Roman"/>
          <w:color w:val="000000"/>
          <w:sz w:val="22"/>
          <w:u w:val="single"/>
        </w:rPr>
        <w:t>Press Release</w:t>
      </w:r>
      <w:r>
        <w:rPr>
          <w:rFonts w:ascii="Times New Roman" w:hAnsi="Times New Roman"/>
          <w:color w:val="000000"/>
          <w:sz w:val="22"/>
        </w:rPr>
        <w:t xml:space="preserve">”) announcing results for the fiscal first quarter ended September 27, 2026. A copy of the Press Release is attached as Exhibit 99.1 to this Current Report on Form 8-K. </w:t>
      </w:r>
    </w:p>
    <w:p>
      <w:pPr>
        <w:pStyle w:val="TextBody"/>
        <w:bidi w:val="0"/>
        <w:spacing w:before="0" w:after="160"/>
        <w:jc w:val="both"/>
        <w:rPr>
          <w:rFonts w:ascii="Times New Roman" w:hAnsi="Times New Roman"/>
          <w:sz w:val="22"/>
        </w:rPr>
      </w:pPr>
      <w:r>
        <w:rPr>
          <w:rFonts w:ascii="Times New Roman" w:hAnsi="Times New Roman"/>
          <w:color w:val="000000"/>
          <w:sz w:val="22"/>
        </w:rPr>
        <w:t xml:space="preserve">Pursuant to General Instruction B.2 of Current Report on Form 8-K, the information in this Item 2.02 and Exhibit 99.1 is being furnished and shall not be deemed to be “filed” for purposes of Section 18 of the </w:t>
      </w:r>
      <w:r>
        <w:rPr>
          <w:rFonts w:ascii="Times New Roman" w:hAnsi="Times New Roman"/>
          <w:color w:val="000000"/>
          <w:sz w:val="22"/>
          <w:u w:val="single"/>
        </w:rPr>
        <w:t>Securities Exchange Act of 1934</w:t>
      </w:r>
      <w:r>
        <w:rPr>
          <w:rFonts w:ascii="Times New Roman" w:hAnsi="Times New Roman"/>
          <w:color w:val="000000"/>
          <w:sz w:val="22"/>
        </w:rPr>
        <w:t>, as amended (the “</w:t>
      </w:r>
      <w:r>
        <w:rPr>
          <w:rFonts w:ascii="Times New Roman" w:hAnsi="Times New Roman"/>
          <w:color w:val="000000"/>
          <w:sz w:val="22"/>
          <w:u w:val="single"/>
        </w:rPr>
        <w:t>Exchange Act</w:t>
      </w:r>
      <w:r>
        <w:rPr>
          <w:rFonts w:ascii="Times New Roman" w:hAnsi="Times New Roman"/>
          <w:color w:val="000000"/>
          <w:sz w:val="22"/>
        </w:rPr>
        <w:t xml:space="preserve">”), or otherwise subject to the liability of that section. Furthermore, the information in this Item 2.02 and Exhibit 99.1 shall not be deemed to be incorporated by reference into the filings of the Company under the </w:t>
      </w:r>
      <w:r>
        <w:rPr>
          <w:rFonts w:ascii="Times New Roman" w:hAnsi="Times New Roman"/>
          <w:color w:val="000000"/>
          <w:sz w:val="22"/>
          <w:u w:val="single"/>
        </w:rPr>
        <w:t>Securities Act of 1933</w:t>
      </w:r>
      <w:r>
        <w:rPr>
          <w:rFonts w:ascii="Times New Roman" w:hAnsi="Times New Roman"/>
          <w:color w:val="000000"/>
          <w:sz w:val="22"/>
        </w:rPr>
        <w:t>, as amended (the “</w:t>
      </w:r>
      <w:r>
        <w:rPr>
          <w:rFonts w:ascii="Times New Roman" w:hAnsi="Times New Roman"/>
          <w:color w:val="000000"/>
          <w:sz w:val="22"/>
          <w:u w:val="single"/>
        </w:rPr>
        <w:t>Securities Act</w:t>
      </w:r>
      <w:r>
        <w:rPr>
          <w:rFonts w:ascii="Times New Roman" w:hAnsi="Times New Roman"/>
          <w:color w:val="000000"/>
          <w:sz w:val="22"/>
        </w:rPr>
        <w:t>”), except as may be expressly set forth by specific reference in such filing.</w:t>
      </w:r>
    </w:p>
    <w:tbl>
      <w:tblPr>
        <w:tblW w:w="3767" w:type="dxa"/>
        <w:jc w:val="left"/>
        <w:tblInd w:w="0" w:type="dxa"/>
        <w:tblLayout w:type="fixed"/>
        <w:tblCellMar>
          <w:top w:w="28" w:type="dxa"/>
          <w:left w:w="28" w:type="dxa"/>
          <w:bottom w:w="28" w:type="dxa"/>
          <w:right w:w="28" w:type="dxa"/>
        </w:tblCellMar>
      </w:tblPr>
      <w:tblGrid>
        <w:gridCol w:w="1051"/>
        <w:gridCol w:w="2716"/>
      </w:tblGrid>
      <w:tr>
        <w:trPr/>
        <w:tc>
          <w:tcPr>
            <w:tcW w:w="105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Item 7.01</w:t>
            </w:r>
          </w:p>
        </w:tc>
        <w:tc>
          <w:tcPr>
            <w:tcW w:w="2716" w:type="dxa"/>
            <w:tcBorders/>
            <w:shd w:fill="FFFFFF" w:val="clear"/>
            <w:tcMar>
              <w:top w:w="0" w:type="dxa"/>
              <w:left w:w="0" w:type="dxa"/>
              <w:bottom w:w="0" w:type="dxa"/>
              <w:right w:w="0" w:type="dxa"/>
            </w:tcMar>
            <w:vAlign w:val="center"/>
          </w:tcPr>
          <w:p>
            <w:pPr>
              <w:pStyle w:val="TableContents"/>
              <w:bidi w:val="0"/>
              <w:spacing w:before="0" w:after="160"/>
              <w:jc w:val="both"/>
              <w:rPr>
                <w:rFonts w:ascii="Times New Roman" w:hAnsi="Times New Roman"/>
                <w:b/>
                <w:color w:val="000000"/>
                <w:sz w:val="22"/>
              </w:rPr>
            </w:pPr>
            <w:r>
              <w:rPr>
                <w:rFonts w:ascii="Times New Roman" w:hAnsi="Times New Roman"/>
                <w:b/>
                <w:color w:val="000000"/>
                <w:sz w:val="22"/>
              </w:rPr>
              <w:t>Regulation FD Disclosure.</w:t>
            </w:r>
          </w:p>
        </w:tc>
      </w:tr>
    </w:tbl>
    <w:p>
      <w:pPr>
        <w:pStyle w:val="TextBody"/>
        <w:bidi w:val="0"/>
        <w:spacing w:before="120" w:after="160"/>
        <w:jc w:val="both"/>
        <w:rPr>
          <w:rFonts w:ascii="Times New Roman" w:hAnsi="Times New Roman"/>
          <w:color w:val="000000"/>
          <w:sz w:val="22"/>
        </w:rPr>
      </w:pPr>
      <w:r>
        <w:rPr>
          <w:rFonts w:ascii="Times New Roman" w:hAnsi="Times New Roman"/>
          <w:color w:val="000000"/>
          <w:sz w:val="22"/>
        </w:rPr>
        <w:t>As described in “Item 2.02 Results of Operations and Financial Condition” above, on October 29, 2026, the Company issued a Press Release announcing earnings results for the fiscal first quarter ended September 27, 2026. The Press Release issued in connection with the announcement is attached as Exhibit 99.1 to this Current Report on Form 8-K.</w:t>
      </w:r>
    </w:p>
    <w:p>
      <w:pPr>
        <w:pStyle w:val="TextBody"/>
        <w:bidi w:val="0"/>
        <w:spacing w:before="0" w:after="160"/>
        <w:jc w:val="both"/>
        <w:rPr>
          <w:rFonts w:ascii="Times New Roman" w:hAnsi="Times New Roman"/>
          <w:sz w:val="22"/>
        </w:rPr>
      </w:pPr>
      <w:r>
        <w:rPr>
          <w:rFonts w:ascii="Times New Roman" w:hAnsi="Times New Roman"/>
          <w:color w:val="000000"/>
          <w:sz w:val="22"/>
        </w:rPr>
        <w:t xml:space="preserve">Pursuant to General Instruction B.2 of Current Report on Form 8-K, the information in this Item 7.01 and Exhibit 99.1 is being furnished and shall not be deemed to be “filed” for purposes of Section 18 of the </w:t>
      </w:r>
      <w:r>
        <w:rPr>
          <w:rFonts w:ascii="Times New Roman" w:hAnsi="Times New Roman"/>
          <w:color w:val="000000"/>
          <w:sz w:val="22"/>
          <w:u w:val="single"/>
        </w:rPr>
        <w:t>Exchange Act</w:t>
      </w:r>
      <w:r>
        <w:rPr>
          <w:rFonts w:ascii="Times New Roman" w:hAnsi="Times New Roman"/>
          <w:color w:val="000000"/>
          <w:sz w:val="22"/>
        </w:rPr>
        <w:t xml:space="preserve">, or otherwise subject to the liability of that section. Furthermore, the information in this Item 7.01 and Exhibit 99.1 shall not be deemed to be incorporated by reference into the filings of the Company under the </w:t>
      </w:r>
      <w:r>
        <w:rPr>
          <w:rFonts w:ascii="Times New Roman" w:hAnsi="Times New Roman"/>
          <w:color w:val="000000"/>
          <w:sz w:val="22"/>
          <w:u w:val="single"/>
        </w:rPr>
        <w:t>Securities Act</w:t>
      </w:r>
      <w:r>
        <w:rPr>
          <w:rFonts w:ascii="Times New Roman" w:hAnsi="Times New Roman"/>
          <w:color w:val="000000"/>
          <w:sz w:val="22"/>
        </w:rPr>
        <w:t>, except as may be expressly set forth by specific reference in such filing.</w:t>
      </w:r>
    </w:p>
    <w:tbl>
      <w:tblPr>
        <w:tblW w:w="4562" w:type="dxa"/>
        <w:jc w:val="left"/>
        <w:tblInd w:w="0" w:type="dxa"/>
        <w:tblLayout w:type="fixed"/>
        <w:tblCellMar>
          <w:top w:w="28" w:type="dxa"/>
          <w:left w:w="28" w:type="dxa"/>
          <w:bottom w:w="28" w:type="dxa"/>
          <w:right w:w="28" w:type="dxa"/>
        </w:tblCellMar>
      </w:tblPr>
      <w:tblGrid>
        <w:gridCol w:w="1051"/>
        <w:gridCol w:w="3511"/>
      </w:tblGrid>
      <w:tr>
        <w:trPr/>
        <w:tc>
          <w:tcPr>
            <w:tcW w:w="105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Item 9.01</w:t>
            </w:r>
          </w:p>
        </w:tc>
        <w:tc>
          <w:tcPr>
            <w:tcW w:w="3511"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2"/>
              </w:rPr>
            </w:pPr>
            <w:r>
              <w:rPr>
                <w:rFonts w:ascii="Times New Roman" w:hAnsi="Times New Roman"/>
                <w:b/>
                <w:color w:val="000000"/>
                <w:sz w:val="22"/>
              </w:rPr>
              <w:t>Financial Statements and Exhibits.</w:t>
            </w:r>
          </w:p>
        </w:tc>
      </w:tr>
    </w:tbl>
    <w:p>
      <w:pPr>
        <w:pStyle w:val="TextBody"/>
        <w:bidi w:val="0"/>
        <w:jc w:val="both"/>
        <w:rPr/>
      </w:pPr>
      <w:r>
        <w:rPr/>
        <w:t> </w:t>
      </w:r>
    </w:p>
    <w:p>
      <w:pPr>
        <w:pStyle w:val="TextBody"/>
        <w:bidi w:val="0"/>
        <w:jc w:val="left"/>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Exhibits</w:t>
      </w:r>
      <w:r>
        <w:rPr>
          <w:rFonts w:ascii="Times New Roman" w:hAnsi="Times New Roman"/>
          <w:color w:val="000000"/>
          <w:sz w:val="22"/>
        </w:rPr>
        <w:t>.</w:t>
      </w:r>
    </w:p>
    <w:p>
      <w:pPr>
        <w:pStyle w:val="TextBody"/>
        <w:bidi w:val="0"/>
        <w:jc w:val="left"/>
        <w:rPr/>
      </w:pPr>
      <w:r>
        <w:rPr/>
        <w:t> </w:t>
      </w:r>
    </w:p>
    <w:tbl>
      <w:tblPr>
        <w:tblW w:w="9287" w:type="dxa"/>
        <w:jc w:val="left"/>
        <w:tblInd w:w="0" w:type="dxa"/>
        <w:tblLayout w:type="fixed"/>
        <w:tblCellMar>
          <w:top w:w="28" w:type="dxa"/>
          <w:left w:w="28" w:type="dxa"/>
          <w:bottom w:w="28" w:type="dxa"/>
          <w:right w:w="28" w:type="dxa"/>
        </w:tblCellMar>
      </w:tblPr>
      <w:tblGrid>
        <w:gridCol w:w="1621"/>
        <w:gridCol w:w="7666"/>
      </w:tblGrid>
      <w:tr>
        <w:trPr/>
        <w:tc>
          <w:tcPr>
            <w:tcW w:w="1621"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Exhibit </w:t>
            </w:r>
            <w:r>
              <w:rPr>
                <w:rFonts w:ascii="Times New Roman" w:hAnsi="Times New Roman"/>
                <w:color w:val="000000"/>
                <w:sz w:val="22"/>
                <w:u w:val="single"/>
              </w:rPr>
              <w:t>Number</w:t>
            </w:r>
          </w:p>
        </w:tc>
        <w:tc>
          <w:tcPr>
            <w:tcW w:w="766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Description</w:t>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99.1</w:t>
            </w:r>
          </w:p>
        </w:tc>
        <w:tc>
          <w:tcPr>
            <w:tcW w:w="7666" w:type="dxa"/>
            <w:tcBorders/>
            <w:tcMar>
              <w:top w:w="0" w:type="dxa"/>
              <w:left w:w="0" w:type="dxa"/>
              <w:bottom w:w="0" w:type="dxa"/>
              <w:right w:w="0" w:type="dxa"/>
            </w:tcMar>
            <w:vAlign w:val="center"/>
          </w:tcPr>
          <w:p>
            <w:pPr>
              <w:pStyle w:val="TableContents"/>
              <w:bidi w:val="0"/>
              <w:spacing w:before="0" w:after="283"/>
              <w:jc w:val="left"/>
              <w:rPr/>
            </w:pPr>
            <w:hyperlink w:anchor="strt-ex99_1.htm">
              <w:r>
                <w:rPr>
                  <w:rStyle w:val="InternetLink"/>
                  <w:rFonts w:ascii="Times New Roman" w:hAnsi="Times New Roman"/>
                  <w:color w:val="0000FF"/>
                  <w:sz w:val="22"/>
                  <w:u w:val="single"/>
                </w:rPr>
                <w:t>Press Release of Strattec Security Corporation, issued October 29, 2026</w:t>
              </w:r>
            </w:hyperlink>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STRATTEC SECURITY CORPORATION</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xml:space="preserve">/s/ Matthew P. Pauli </w:t>
      </w:r>
    </w:p>
    <w:p>
      <w:pPr>
        <w:pStyle w:val="TextBody"/>
        <w:bidi w:val="0"/>
        <w:jc w:val="left"/>
        <w:rPr>
          <w:rFonts w:ascii="Times New Roman" w:hAnsi="Times New Roman"/>
          <w:color w:val="000000"/>
          <w:sz w:val="22"/>
        </w:rPr>
      </w:pPr>
      <w:r>
        <w:rPr>
          <w:rFonts w:ascii="Times New Roman" w:hAnsi="Times New Roman"/>
          <w:color w:val="000000"/>
          <w:sz w:val="22"/>
        </w:rPr>
        <w:t xml:space="preserve">Matthew P. Pauli, Senior Vice President and </w:t>
      </w:r>
    </w:p>
    <w:p>
      <w:pPr>
        <w:pStyle w:val="TextBody"/>
        <w:bidi w:val="0"/>
        <w:jc w:val="left"/>
        <w:rPr>
          <w:rFonts w:ascii="Times New Roman" w:hAnsi="Times New Roman"/>
          <w:color w:val="000000"/>
          <w:sz w:val="22"/>
        </w:rPr>
      </w:pPr>
      <w:r>
        <w:rPr>
          <w:rFonts w:ascii="Times New Roman" w:hAnsi="Times New Roman"/>
          <w:color w:val="000000"/>
          <w:sz w:val="22"/>
        </w:rPr>
        <w:t>Chief Financial Officer</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Date: October 29,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b/>
          <w:i/>
          <w:color w:val="000000"/>
          <w:sz w:val="48"/>
        </w:rPr>
      </w:pPr>
      <w:bookmarkStart w:id="2" w:name="strt-ex99_1.htm"/>
      <w:bookmarkStart w:id="3" w:name="ksstrtex99_1"/>
      <w:bookmarkEnd w:id="2"/>
      <w:bookmarkEnd w:id="3"/>
      <w:r>
        <w:rPr>
          <w:rFonts w:ascii="Times New Roman" w:hAnsi="Times New Roman"/>
          <w:b/>
          <w:i/>
          <w:color w:val="000000"/>
          <w:sz w:val="48"/>
        </w:rPr>
        <w:t>NEWS</w:t>
        <w:br/>
        <w:t>RELEASE</w:t>
      </w:r>
      <w:r>
        <w:br w:type="page"/>
      </w:r>
    </w:p>
    <w:p>
      <w:pPr>
        <w:pStyle w:val="TextBody"/>
        <w:bidi w:val="0"/>
        <w:jc w:val="left"/>
        <w:rPr/>
      </w:pPr>
      <w:r>
        <w:rPr/>
        <w:t> </w:t>
      </w:r>
    </w:p>
    <w:p>
      <w:pPr>
        <w:pStyle w:val="TextBody"/>
        <w:bidi w:val="0"/>
        <w:spacing w:before="120" w:after="120"/>
        <w:jc w:val="left"/>
        <w:rPr>
          <w:rFonts w:ascii="Times New Roman" w:hAnsi="Times New Roman"/>
          <w:i/>
          <w:color w:val="000000"/>
          <w:sz w:val="22"/>
        </w:rPr>
      </w:pPr>
      <w:r>
        <w:rPr>
          <w:rFonts w:ascii="Times New Roman" w:hAnsi="Times New Roman"/>
          <w:i/>
          <w:color w:val="000000"/>
          <w:sz w:val="22"/>
        </w:rPr>
        <w:t xml:space="preserve">IMMEDIATE RELEASE </w:t>
      </w:r>
    </w:p>
    <w:p>
      <w:pPr>
        <w:pStyle w:val="TextBody"/>
        <w:bidi w:val="0"/>
        <w:spacing w:before="0" w:after="200"/>
        <w:jc w:val="center"/>
        <w:rPr>
          <w:rFonts w:ascii="Times New Roman" w:hAnsi="Times New Roman"/>
          <w:b/>
          <w:i/>
          <w:color w:val="000000"/>
          <w:sz w:val="28"/>
        </w:rPr>
      </w:pPr>
      <w:r>
        <w:rPr>
          <w:rFonts w:ascii="Times New Roman" w:hAnsi="Times New Roman"/>
          <w:b/>
          <w:i/>
          <w:color w:val="000000"/>
          <w:sz w:val="28"/>
        </w:rPr>
        <w:t xml:space="preserve">Strattec Transformation Continues to Deliver Strong Cash Generation; </w:t>
        <w:br/>
        <w:t>Generated $10.8 Million in Cash from Operations in First Quarter Fiscal 2027</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Strong balance sheet with $111.8 million in cash and no debt at quarter end</w:t>
      </w:r>
    </w:p>
    <w:p>
      <w:pPr>
        <w:pStyle w:val="TextBody"/>
        <w:bidi w:val="0"/>
        <w:spacing w:before="50" w:after="283"/>
        <w:ind w:left="360" w:right="0" w:hanging="0"/>
        <w:jc w:val="left"/>
        <w:rPr>
          <w:color w:val="000000"/>
        </w:rPr>
      </w:pPr>
      <w:r>
        <w:rPr>
          <w:color w:val="000000"/>
        </w:rPr>
        <w:t>•</w:t>
      </w:r>
    </w:p>
    <w:p>
      <w:pPr>
        <w:pStyle w:val="TextBody"/>
        <w:bidi w:val="0"/>
        <w:spacing w:before="50" w:after="283"/>
        <w:jc w:val="left"/>
        <w:rPr>
          <w:rFonts w:ascii="Times New Roman" w:hAnsi="Times New Roman"/>
          <w:color w:val="000000"/>
          <w:sz w:val="22"/>
        </w:rPr>
      </w:pPr>
      <w:r>
        <w:rPr>
          <w:rFonts w:ascii="Times New Roman" w:hAnsi="Times New Roman"/>
          <w:color w:val="000000"/>
          <w:sz w:val="22"/>
        </w:rPr>
        <w:t xml:space="preserve">Financial strength enables continued investment in transformation, $5.0 million return of cash in the quarter to shareholders through purchase of 67,904 shares as well as pursuit of strategic growth </w:t>
      </w:r>
    </w:p>
    <w:p>
      <w:pPr>
        <w:pStyle w:val="TextBody"/>
        <w:bidi w:val="0"/>
        <w:spacing w:before="50" w:after="283"/>
        <w:ind w:left="360" w:right="0" w:hanging="0"/>
        <w:jc w:val="left"/>
        <w:rPr>
          <w:color w:val="000000"/>
        </w:rPr>
      </w:pPr>
      <w:r>
        <w:rPr>
          <w:color w:val="000000"/>
        </w:rPr>
        <w:t>•</w:t>
      </w:r>
    </w:p>
    <w:p>
      <w:pPr>
        <w:pStyle w:val="TextBody"/>
        <w:bidi w:val="0"/>
        <w:spacing w:before="50" w:after="283"/>
        <w:jc w:val="left"/>
        <w:rPr>
          <w:rFonts w:ascii="Times New Roman" w:hAnsi="Times New Roman"/>
          <w:color w:val="000000"/>
          <w:sz w:val="22"/>
        </w:rPr>
      </w:pPr>
      <w:r>
        <w:rPr>
          <w:rFonts w:ascii="Times New Roman" w:hAnsi="Times New Roman"/>
          <w:color w:val="000000"/>
          <w:sz w:val="22"/>
        </w:rPr>
        <w:t>First quarter net sales were $147.2 million, compared with $152.4 million in the prior year</w:t>
      </w:r>
    </w:p>
    <w:p>
      <w:pPr>
        <w:pStyle w:val="TextBody"/>
        <w:bidi w:val="0"/>
        <w:spacing w:before="50" w:after="283"/>
        <w:ind w:left="360" w:right="0" w:hanging="0"/>
        <w:jc w:val="left"/>
        <w:rPr>
          <w:color w:val="000000"/>
        </w:rPr>
      </w:pPr>
      <w:r>
        <w:rPr>
          <w:color w:val="000000"/>
        </w:rPr>
        <w:t>•</w:t>
      </w:r>
    </w:p>
    <w:p>
      <w:pPr>
        <w:pStyle w:val="TextBody"/>
        <w:bidi w:val="0"/>
        <w:spacing w:lineRule="auto" w:line="360" w:before="50" w:after="283"/>
        <w:jc w:val="left"/>
        <w:rPr>
          <w:sz w:val="22"/>
        </w:rPr>
      </w:pPr>
      <w:r>
        <w:rPr>
          <w:rFonts w:ascii="Times New Roman" w:hAnsi="Times New Roman"/>
          <w:color w:val="000000"/>
          <w:sz w:val="22"/>
        </w:rPr>
        <w:t>Net income attributable to Strattec of $4.8 million, or $1.19 per diluted share, compared with $8.5 million, or $2.07 per diluted share, in the prior-year period; adjusted diluted EPS</w:t>
      </w:r>
      <w:r>
        <w:rPr>
          <w:rFonts w:ascii="Times New Roman" w:hAnsi="Times New Roman"/>
          <w:color w:val="000000"/>
          <w:sz w:val="15"/>
        </w:rPr>
        <w:t>1</w:t>
      </w:r>
      <w:r>
        <w:rPr>
          <w:color w:val="000000"/>
          <w:sz w:val="22"/>
        </w:rPr>
        <w:t xml:space="preserve"> </w:t>
      </w:r>
      <w:r>
        <w:rPr>
          <w:rFonts w:ascii="Times New Roman" w:hAnsi="Times New Roman"/>
          <w:color w:val="000000"/>
          <w:sz w:val="22"/>
        </w:rPr>
        <w:t>was $1.85, compared with $2.22</w:t>
      </w:r>
    </w:p>
    <w:p>
      <w:pPr>
        <w:pStyle w:val="TextBody"/>
        <w:bidi w:val="0"/>
        <w:spacing w:before="50" w:after="283"/>
        <w:ind w:left="360" w:right="0" w:hanging="0"/>
        <w:jc w:val="left"/>
        <w:rPr>
          <w:color w:val="000000"/>
        </w:rPr>
      </w:pPr>
      <w:r>
        <w:rPr>
          <w:color w:val="000000"/>
        </w:rPr>
        <w:t>•</w:t>
      </w:r>
    </w:p>
    <w:p>
      <w:pPr>
        <w:pStyle w:val="TextBody"/>
        <w:bidi w:val="0"/>
        <w:spacing w:lineRule="auto" w:line="360" w:before="50" w:after="283"/>
        <w:jc w:val="left"/>
        <w:rPr>
          <w:rFonts w:ascii="Times New Roman" w:hAnsi="Times New Roman"/>
          <w:sz w:val="15"/>
        </w:rPr>
      </w:pPr>
      <w:r>
        <w:rPr>
          <w:rFonts w:ascii="Times New Roman" w:hAnsi="Times New Roman"/>
          <w:color w:val="000000"/>
          <w:sz w:val="22"/>
        </w:rPr>
        <w:t>Adjusted EBITDA</w:t>
      </w:r>
      <w:r>
        <w:rPr>
          <w:rFonts w:ascii="Times New Roman" w:hAnsi="Times New Roman"/>
          <w:color w:val="000000"/>
          <w:sz w:val="15"/>
        </w:rPr>
        <w:t xml:space="preserve">1 </w:t>
      </w:r>
      <w:r>
        <w:rPr>
          <w:rFonts w:ascii="Times New Roman" w:hAnsi="Times New Roman"/>
          <w:color w:val="000000"/>
          <w:sz w:val="22"/>
        </w:rPr>
        <w:t>of $13.5 million, or 9.2% of net sales, compared with $15.6 million, or 10.2% of net sales, in the prior-year period</w:t>
      </w:r>
    </w:p>
    <w:p>
      <w:pPr>
        <w:pStyle w:val="TextBody"/>
        <w:bidi w:val="0"/>
        <w:spacing w:before="200" w:after="283"/>
        <w:jc w:val="left"/>
        <w:rPr>
          <w:rFonts w:ascii="Times New Roman" w:hAnsi="Times New Roman"/>
          <w:sz w:val="22"/>
        </w:rPr>
      </w:pPr>
      <w:r>
        <w:rPr>
          <w:rFonts w:ascii="Times New Roman" w:hAnsi="Times New Roman"/>
          <w:i/>
          <w:color w:val="000000"/>
          <w:sz w:val="22"/>
        </w:rPr>
        <w:t xml:space="preserve">MILWAUKEE, WI, October 29, 2026 </w:t>
      </w:r>
      <w:r>
        <w:rPr>
          <w:rFonts w:ascii="Times New Roman" w:hAnsi="Times New Roman"/>
          <w:color w:val="000000"/>
          <w:sz w:val="22"/>
        </w:rPr>
        <w:t xml:space="preserve">— </w:t>
      </w:r>
      <w:r>
        <w:rPr>
          <w:rFonts w:ascii="Times New Roman" w:hAnsi="Times New Roman"/>
          <w:sz w:val="22"/>
        </w:rPr>
        <w:t>Strattec</w:t>
      </w:r>
      <w:r>
        <w:rPr>
          <w:rFonts w:ascii="Times New Roman" w:hAnsi="Times New Roman"/>
          <w:color w:val="000000"/>
          <w:sz w:val="22"/>
        </w:rPr>
        <w:t xml:space="preserve"> (Nasdaq: STRT), a global provider of highly engineered access solutions for the automotive and mobility industries, today reported financial results for its first quarter of fiscal 2027, which ended September 27, 2026.</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Jennifer Slater, President and CEO of Strattec, said, “Our first quarter financial results demonstrate the impact of our transformation efforts, which enabled us to achieve a 9.2% adjusted EBITDA margin on $147.2 million in net sales. We continue to improve our cost structure through targeted operational initiatives. During the quarter, we took actions in our Mexico operations that are expected to generate $1.3 million in annualized savings. We believe there remain meaningful opportunities to reduce costs through supply chain improvements and automation which we expect to support margin improvement and strengthen our competitive position.”</w:t>
      </w:r>
    </w:p>
    <w:p>
      <w:pPr>
        <w:pStyle w:val="TextBody"/>
        <w:bidi w:val="0"/>
        <w:spacing w:before="100" w:after="283"/>
        <w:jc w:val="left"/>
        <w:rPr>
          <w:rFonts w:ascii="Times New Roman" w:hAnsi="Times New Roman"/>
          <w:color w:val="000000"/>
          <w:sz w:val="22"/>
        </w:rPr>
      </w:pPr>
      <w:r>
        <w:rPr>
          <w:rFonts w:ascii="Times New Roman" w:hAnsi="Times New Roman"/>
          <w:color w:val="000000"/>
          <w:sz w:val="22"/>
        </w:rPr>
        <w:t>She added, “Importantly, the strength of our balance sheet provides us the flexibility to invest in our business while also returning capital to shareholders and pursuing strategic growth opportunities. We have an active acquisition funnel that we believe could advance our long-term strategy. Concurrently, we have remained focused on improving the performance of our operations and driving transformational change.”</w:t>
      </w:r>
    </w:p>
    <w:p>
      <w:pPr>
        <w:pStyle w:val="TextBody"/>
        <w:bidi w:val="0"/>
        <w:spacing w:before="200" w:after="283"/>
        <w:jc w:val="left"/>
        <w:rPr>
          <w:rFonts w:ascii="Times New Roman" w:hAnsi="Times New Roman"/>
          <w:sz w:val="20"/>
        </w:rPr>
      </w:pPr>
      <w:r>
        <w:rPr>
          <w:rFonts w:ascii="Times New Roman" w:hAnsi="Times New Roman"/>
          <w:b/>
          <w:color w:val="000000"/>
          <w:sz w:val="22"/>
        </w:rPr>
        <w:t>FY 2027 First Quarter Financial Summary</w:t>
      </w:r>
      <w:r>
        <w:rPr>
          <w:rFonts w:ascii="Times New Roman" w:hAnsi="Times New Roman"/>
          <w:color w:val="000000"/>
          <w:sz w:val="20"/>
        </w:rPr>
        <w:br/>
        <w:t>(compared with prior-year period, except where otherwise noted)</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 xml:space="preserve">Net sales were $147.2 million, a decrease of $5.2 million, or 3%. Pricing of $1.0 million somewhat offset the $6.2 million impact of lower customer production volumes.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Gross profit was $24.3 million, compared with $26.3 million in the prior-year period, and gross margin contracted 80 basis points to 16.5%. Pricing, $0.9 million in restructuring savings, lower overhead costs and better mix were more than offset by the impact of lower volume, elevated premium freight and annual labor cost increases. Unfavorable foreign currency exchange rates of $1.4 million had a 90 basis point negative impact to gross margin. Sequentially, gross margin improved from 15.6% in the fourth quarter of fiscal 2026 to 16.5% in the first quarter, on lower sales demonstrating continued progress with the transformation.</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Selling, administrative and engineering (“SAE”) expenses were $17.9 million, or 12.2% of sales, compared with $15.9 million, or 10.4% of sales, in the prior-year period. The increase was due to</w:t>
        <w:br/>
        <w:t xml:space="preserve">$2.4 million in business development expenses. Excluding business development, business transformation and </w:t>
      </w:r>
    </w:p>
    <w:p>
      <w:pPr>
        <w:pStyle w:val="HorizontalLine"/>
        <w:pBdr>
          <w:bottom w:val="double" w:sz="2" w:space="0" w:color="808080"/>
        </w:pBdr>
        <w:bidi w:val="0"/>
        <w:spacing w:before="0" w:after="283"/>
        <w:jc w:val="left"/>
        <w:rPr/>
      </w:pPr>
      <w:r>
        <w:rPr/>
      </w:r>
    </w:p>
    <w:p>
      <w:pPr>
        <w:pStyle w:val="TextBody"/>
        <w:bidi w:val="0"/>
        <w:spacing w:lineRule="auto" w:line="360"/>
        <w:jc w:val="left"/>
        <w:rPr>
          <w:rFonts w:ascii="Times New Roman" w:hAnsi="Times New Roman"/>
          <w:sz w:val="16"/>
        </w:rPr>
      </w:pPr>
      <w:r>
        <w:rPr>
          <w:rFonts w:ascii="Times New Roman" w:hAnsi="Times New Roman"/>
          <w:i/>
          <w:color w:val="000000"/>
          <w:sz w:val="15"/>
        </w:rPr>
        <w:t>1</w:t>
      </w:r>
      <w:r>
        <w:rPr>
          <w:rFonts w:ascii="Times New Roman" w:hAnsi="Times New Roman"/>
          <w:color w:val="000000"/>
          <w:sz w:val="16"/>
        </w:rPr>
        <w:t xml:space="preserve"> </w:t>
      </w:r>
      <w:r>
        <w:rPr>
          <w:rFonts w:ascii="Arial Nova Light;sans-serif" w:hAnsi="Arial Nova Light;sans-serif"/>
          <w:b w:val="false"/>
          <w:i/>
          <w:color w:val="000000"/>
          <w:sz w:val="16"/>
        </w:rPr>
        <w:t>Refer to “Use of Non-GAAP Financial Metrics and Additional Financial Information” as well as accompanying reconciliations to GAAP</w:t>
      </w:r>
    </w:p>
    <w:p>
      <w:pPr>
        <w:pStyle w:val="TextBody"/>
        <w:bidi w:val="0"/>
        <w:jc w:val="left"/>
        <w:rPr/>
      </w:pPr>
      <w:r>
        <w:rPr/>
        <w:t> </w:t>
      </w:r>
    </w:p>
    <w:tbl>
      <w:tblPr>
        <w:tblW w:w="5448" w:type="dxa"/>
        <w:jc w:val="left"/>
        <w:tblInd w:w="0" w:type="dxa"/>
        <w:tblLayout w:type="fixed"/>
        <w:tblCellMar>
          <w:top w:w="28" w:type="dxa"/>
          <w:left w:w="28" w:type="dxa"/>
          <w:bottom w:w="28" w:type="dxa"/>
          <w:right w:w="28" w:type="dxa"/>
        </w:tblCellMar>
      </w:tblPr>
      <w:tblGrid>
        <w:gridCol w:w="2611"/>
        <w:gridCol w:w="1891"/>
        <w:gridCol w:w="946"/>
      </w:tblGrid>
      <w:tr>
        <w:trPr/>
        <w:tc>
          <w:tcPr>
            <w:tcW w:w="2611"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611" w:type="dxa"/>
            <w:tcBorders>
              <w:left w:val="single" w:sz="4" w:space="0" w:color="000000"/>
              <w:right w:val="single" w:sz="4" w:space="0" w:color="000000"/>
            </w:tcBorders>
            <w:tcMar>
              <w:top w:w="0" w:type="dxa"/>
              <w:left w:w="108" w:type="dxa"/>
              <w:bottom w:w="0" w:type="dxa"/>
              <w:right w:w="108"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3333 WEST GOOD HOPE ROAD</w:t>
              <w:br/>
              <w:t>MILWAUKEE, WI 53209</w:t>
            </w:r>
          </w:p>
        </w:tc>
        <w:tc>
          <w:tcPr>
            <w:tcW w:w="189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414.247.3333</w:t>
              <w:br/>
              <w:t>WWW.STRATTEC.COM</w:t>
            </w:r>
          </w:p>
        </w:tc>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 xml:space="preserve">NASDAQ: </w:t>
              <w:br/>
              <w:t>STRT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i/>
          <w:color w:val="000000"/>
          <w:sz w:val="18"/>
        </w:rPr>
      </w:pPr>
      <w:r>
        <w:rPr>
          <w:rFonts w:ascii="Times New Roman" w:hAnsi="Times New Roman"/>
          <w:b/>
          <w:i/>
          <w:color w:val="000000"/>
          <w:sz w:val="18"/>
        </w:rPr>
        <w:t xml:space="preserve">Strattec Transformation Continues to Deliver Strong Cash Generation; Generated $10.8 Million in Cash from Operations </w:t>
        <w:br/>
        <w:t>in First Quarter Fiscal 2027</w:t>
        <w:br/>
        <w:t>October 29, 2026</w:t>
      </w:r>
    </w:p>
    <w:p>
      <w:pPr>
        <w:pStyle w:val="TextBody"/>
        <w:bidi w:val="0"/>
        <w:jc w:val="left"/>
        <w:rPr>
          <w:rFonts w:ascii="Times New Roman" w:hAnsi="Times New Roman"/>
          <w:sz w:val="18"/>
        </w:rPr>
      </w:pPr>
      <w:r>
        <w:rPr>
          <w:rFonts w:ascii="Times New Roman" w:hAnsi="Times New Roman"/>
          <w:b/>
          <w:i/>
          <w:color w:val="000000"/>
          <w:sz w:val="18"/>
        </w:rPr>
        <w:t>Page 2</w:t>
      </w:r>
      <w:r>
        <w:rPr>
          <w:rFonts w:ascii="Times New Roman" w:hAnsi="Times New Roman"/>
          <w:color w:val="000000"/>
          <w:sz w:val="18"/>
        </w:rPr>
        <w:t xml:space="preserve"> </w:t>
      </w:r>
      <w:r>
        <w:rPr>
          <w:rFonts w:ascii="Times New Roman" w:hAnsi="Times New Roman"/>
          <w:b/>
          <w:i/>
          <w:color w:val="000000"/>
          <w:sz w:val="18"/>
        </w:rPr>
        <w:t>of 11</w:t>
      </w:r>
    </w:p>
    <w:p>
      <w:pPr>
        <w:pStyle w:val="TextBody"/>
        <w:bidi w:val="0"/>
        <w:jc w:val="left"/>
        <w:rPr/>
      </w:pPr>
      <w:r>
        <w:rPr/>
        <w:t> </w:t>
      </w:r>
    </w:p>
    <w:p>
      <w:pPr>
        <w:pStyle w:val="TextBody"/>
        <w:bidi w:val="0"/>
        <w:spacing w:lineRule="auto" w:line="360" w:before="80" w:after="283"/>
        <w:jc w:val="left"/>
        <w:rPr>
          <w:rFonts w:ascii="Times New Roman" w:hAnsi="Times New Roman"/>
          <w:sz w:val="22"/>
        </w:rPr>
      </w:pPr>
      <w:r>
        <w:rPr>
          <w:rFonts w:ascii="Times New Roman" w:hAnsi="Times New Roman"/>
          <w:color w:val="000000"/>
          <w:sz w:val="22"/>
        </w:rPr>
        <w:t>executive transition costs, adjusted SAE</w:t>
      </w:r>
      <w:r>
        <w:rPr>
          <w:rFonts w:ascii="Times New Roman" w:hAnsi="Times New Roman"/>
          <w:color w:val="000000"/>
          <w:sz w:val="15"/>
        </w:rPr>
        <w:t>1</w:t>
      </w:r>
      <w:r>
        <w:rPr>
          <w:rFonts w:ascii="Times New Roman" w:hAnsi="Times New Roman"/>
          <w:color w:val="000000"/>
          <w:sz w:val="22"/>
        </w:rPr>
        <w:t xml:space="preserve"> was $15.0 million, or 10.2% of sales, in line with the Company’s target of SAE being 10% to 11% of sales.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Interest income increased $0.1 million to $1.0 million on higher cash balances, while interest expense declined $0.1 million as the Company had no outstanding bank borrowings. Other expense, net was $0.2 million, compared with $0.3 million in the prior-year period.</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 xml:space="preserve">The effective tax rate was 26.2%, compared with 21.6% in the prior-year period. The higher effective tax rate primarily reflects discrete tax items. Net income attributable to non-controlling interest was </w:t>
        <w:br/>
        <w:t>$0.5 million, compared with less than $0.1 million in the prior-year period.</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Net income attributable to Strattec was $4.8 million, or $1.19 per diluted share, compared with $8.5 million, or $2.07 per diluted share, in the prior-year period. On an adjusted basis, first quarter fiscal 2027 net income attributable to Strattec was $7.5 million, or $1.85 per diluted share, compared with $9.2 million, or $2.22 per diluted share, in the prior-year period. Adjusted EBITDA for the quarter was $13.5 million, or 9.2% of net sales, compared with $15.6 million, or 10.2% of net sales, in the prior-year period.</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Business Development Efforts</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 xml:space="preserve">The Company maintains an active acquisition funnel of strategic opportunities designed to diversify its customers and geographies, increase the scale of its operations and enhance its product offerings within Permission, Motion and Hold. During the first quarter of fiscal 2027, the Company incurred $2.4 million of business development expenses, primarily related to advancing and evaluating these inorganic growth opportunities. Additional acquisition-related expenses may be incurred in subsequent periods, with the amount and timing dependent on the progress of acquisition activities. </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Financial Flexibility with Strong Balance Sheet</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 xml:space="preserve">Cash provided by operating activities was $10.8 million in the first quarter of fiscal 2027, compared with $11.3 million in the prior-year period. During the quarter, the Company repurchased 67,904 shares of common stock for $5.0 million, leaving $35.0 million remaining available under the Company’s share repurchase authorization.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At September 27, 2026, the Company had $111.8 million in cash and cash equivalents and no debt, compared with $108.2 million in cash and cash equivalents at the end of fiscal 2026 and $90.5 million at the end of the first quarter of fiscal 2026.</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First Quarter Fiscal 2027 Webcast and Conference Call</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Strattec will host a conference call and webcast tomorrow, Friday, October 30, 2026, at 8:00 am Central Time/9:00 am Eastern Time, to review the financial and operating results for the period ended September 27, 2026, and provide an update on its transformation progress. A question-and-answer session will follow.</w:t>
      </w:r>
    </w:p>
    <w:p>
      <w:pPr>
        <w:pStyle w:val="TextBody"/>
        <w:bidi w:val="0"/>
        <w:spacing w:before="80" w:after="283"/>
        <w:jc w:val="left"/>
        <w:rPr>
          <w:rFonts w:ascii="Times New Roman" w:hAnsi="Times New Roman"/>
          <w:sz w:val="22"/>
        </w:rPr>
      </w:pPr>
      <w:r>
        <w:rPr>
          <w:rFonts w:ascii="Times New Roman" w:hAnsi="Times New Roman"/>
          <w:color w:val="000000"/>
          <w:sz w:val="22"/>
        </w:rPr>
        <w:t xml:space="preserve">You can access the call by phoning +1 (201) 689-8470 or find the webcast and accompanying slide presentation at </w:t>
      </w:r>
      <w:r>
        <w:rPr>
          <w:rFonts w:ascii="Times New Roman" w:hAnsi="Times New Roman"/>
          <w:sz w:val="22"/>
        </w:rPr>
        <w:t>investors.strattec.com</w:t>
      </w:r>
      <w:r>
        <w:rPr>
          <w:rFonts w:ascii="Times New Roman" w:hAnsi="Times New Roman"/>
          <w:color w:val="000000"/>
          <w:sz w:val="22"/>
        </w:rPr>
        <w:t>.</w:t>
      </w:r>
    </w:p>
    <w:p>
      <w:pPr>
        <w:pStyle w:val="TextBody"/>
        <w:bidi w:val="0"/>
        <w:spacing w:before="80" w:after="283"/>
        <w:jc w:val="left"/>
        <w:rPr>
          <w:rFonts w:ascii="Times New Roman" w:hAnsi="Times New Roman"/>
          <w:sz w:val="22"/>
        </w:rPr>
      </w:pPr>
      <w:r>
        <w:rPr>
          <w:rFonts w:ascii="Times New Roman" w:hAnsi="Times New Roman"/>
          <w:color w:val="000000"/>
          <w:sz w:val="22"/>
        </w:rPr>
        <w:t xml:space="preserve">A telephonic replay will be available from approximately 12:00 pm CT on the day of the call through Friday, November 13, 2026. To listen to the archived call, dial +1 (412) 317-6671 and enter replay PIN 13762673. The webcast replay will be available on the Investor Relations section of the Company’s website at </w:t>
      </w:r>
      <w:r>
        <w:rPr>
          <w:rFonts w:ascii="Times New Roman" w:hAnsi="Times New Roman"/>
          <w:sz w:val="22"/>
        </w:rPr>
        <w:t>investors.strattec.com</w:t>
      </w:r>
      <w:r>
        <w:rPr>
          <w:rFonts w:ascii="Times New Roman" w:hAnsi="Times New Roman"/>
          <w:color w:val="000000"/>
          <w:sz w:val="22"/>
        </w:rPr>
        <w:t>, where a transcript will be posted once available.</w:t>
      </w:r>
    </w:p>
    <w:p>
      <w:pPr>
        <w:pStyle w:val="TextBody"/>
        <w:bidi w:val="0"/>
        <w:spacing w:before="140" w:after="20"/>
        <w:jc w:val="left"/>
        <w:rPr>
          <w:rFonts w:ascii="Times New Roman" w:hAnsi="Times New Roman"/>
          <w:b/>
          <w:smallCaps/>
          <w:color w:val="000000"/>
          <w:sz w:val="22"/>
        </w:rPr>
      </w:pPr>
      <w:r>
        <w:rPr>
          <w:rFonts w:ascii="Times New Roman" w:hAnsi="Times New Roman"/>
          <w:b/>
          <w:smallCaps/>
          <w:color w:val="000000"/>
          <w:sz w:val="22"/>
        </w:rPr>
        <w:t>About Strattec</w:t>
      </w:r>
    </w:p>
    <w:p>
      <w:pPr>
        <w:pStyle w:val="TextBody"/>
        <w:bidi w:val="0"/>
        <w:spacing w:before="0" w:after="60"/>
        <w:jc w:val="both"/>
        <w:rPr>
          <w:rFonts w:ascii="Times New Roman" w:hAnsi="Times New Roman"/>
          <w:color w:val="000000"/>
          <w:sz w:val="22"/>
        </w:rPr>
      </w:pPr>
      <w:r>
        <w:rPr>
          <w:rFonts w:ascii="Times New Roman" w:hAnsi="Times New Roman"/>
          <w:color w:val="000000"/>
          <w:sz w:val="22"/>
        </w:rPr>
        <w:t>Strattec is a global automotive access company that designs and delivers safe, secure, and highly engineered access solutions for the automotive and mobility industries. Built on generations of access and security engineering expertise, Strattec partners closely with OEMs to create differentiated, system</w:t>
        <w:noBreakHyphen/>
        <w:t xml:space="preserve">level access experiences for end </w:t>
      </w:r>
    </w:p>
    <w:p>
      <w:pPr>
        <w:pStyle w:val="HorizontalLine"/>
        <w:pBdr>
          <w:bottom w:val="double" w:sz="2" w:space="0" w:color="808080"/>
        </w:pBdr>
        <w:bidi w:val="0"/>
        <w:spacing w:before="0" w:after="283"/>
        <w:jc w:val="left"/>
        <w:rPr/>
      </w:pPr>
      <w:r>
        <w:rPr/>
      </w:r>
    </w:p>
    <w:p>
      <w:pPr>
        <w:pStyle w:val="TextBody"/>
        <w:bidi w:val="0"/>
        <w:spacing w:lineRule="auto" w:line="360"/>
        <w:jc w:val="left"/>
        <w:rPr>
          <w:rFonts w:ascii="Times New Roman" w:hAnsi="Times New Roman"/>
          <w:sz w:val="16"/>
        </w:rPr>
      </w:pPr>
      <w:r>
        <w:rPr>
          <w:rFonts w:ascii="Times New Roman" w:hAnsi="Times New Roman"/>
          <w:i/>
          <w:color w:val="000000"/>
          <w:sz w:val="15"/>
        </w:rPr>
        <w:t>1</w:t>
      </w:r>
      <w:r>
        <w:rPr>
          <w:rFonts w:ascii="Times New Roman" w:hAnsi="Times New Roman"/>
          <w:color w:val="000000"/>
          <w:sz w:val="16"/>
        </w:rPr>
        <w:t xml:space="preserve"> </w:t>
      </w:r>
      <w:r>
        <w:rPr>
          <w:rFonts w:ascii="Arial Nova Light;sans-serif" w:hAnsi="Arial Nova Light;sans-serif"/>
          <w:b w:val="false"/>
          <w:i/>
          <w:color w:val="000000"/>
          <w:sz w:val="16"/>
        </w:rPr>
        <w:t>Refer to “Use of Non-GAAP Financial Metrics and Additional Financial Information” as well as accompanying reconciliations to GAAP</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i/>
          <w:color w:val="000000"/>
          <w:sz w:val="18"/>
        </w:rPr>
      </w:pPr>
      <w:r>
        <w:rPr>
          <w:rFonts w:ascii="Times New Roman" w:hAnsi="Times New Roman"/>
          <w:b/>
          <w:i/>
          <w:color w:val="000000"/>
          <w:sz w:val="18"/>
        </w:rPr>
        <w:t xml:space="preserve">Strattec Transformation Continues to Deliver Strong Cash Generation; Generated $10.8 Million in Cash from Operations </w:t>
        <w:br/>
        <w:t>in First Quarter Fiscal 2027</w:t>
        <w:br/>
        <w:t>October 29, 2026</w:t>
      </w:r>
    </w:p>
    <w:p>
      <w:pPr>
        <w:pStyle w:val="TextBody"/>
        <w:bidi w:val="0"/>
        <w:jc w:val="left"/>
        <w:rPr>
          <w:rFonts w:ascii="Times New Roman" w:hAnsi="Times New Roman"/>
          <w:sz w:val="18"/>
        </w:rPr>
      </w:pPr>
      <w:r>
        <w:rPr>
          <w:rFonts w:ascii="Times New Roman" w:hAnsi="Times New Roman"/>
          <w:b/>
          <w:i/>
          <w:color w:val="000000"/>
          <w:sz w:val="18"/>
        </w:rPr>
        <w:t>Page 3</w:t>
      </w:r>
      <w:r>
        <w:rPr>
          <w:rFonts w:ascii="Times New Roman" w:hAnsi="Times New Roman"/>
          <w:color w:val="000000"/>
          <w:sz w:val="18"/>
        </w:rPr>
        <w:t xml:space="preserve"> </w:t>
      </w:r>
      <w:r>
        <w:rPr>
          <w:rFonts w:ascii="Times New Roman" w:hAnsi="Times New Roman"/>
          <w:b/>
          <w:i/>
          <w:color w:val="000000"/>
          <w:sz w:val="18"/>
        </w:rPr>
        <w:t>of 11</w:t>
      </w:r>
    </w:p>
    <w:p>
      <w:pPr>
        <w:pStyle w:val="TextBody"/>
        <w:bidi w:val="0"/>
        <w:jc w:val="left"/>
        <w:rPr/>
      </w:pPr>
      <w:r>
        <w:rPr/>
        <w:t> </w:t>
      </w:r>
    </w:p>
    <w:p>
      <w:pPr>
        <w:pStyle w:val="TextBody"/>
        <w:bidi w:val="0"/>
        <w:spacing w:before="0" w:after="60"/>
        <w:jc w:val="both"/>
        <w:rPr>
          <w:rFonts w:ascii="Times New Roman" w:hAnsi="Times New Roman"/>
          <w:color w:val="000000"/>
          <w:sz w:val="22"/>
        </w:rPr>
      </w:pPr>
      <w:r>
        <w:rPr>
          <w:rFonts w:ascii="Times New Roman" w:hAnsi="Times New Roman"/>
          <w:color w:val="000000"/>
          <w:sz w:val="22"/>
        </w:rPr>
        <w:t>consumers. Strattec’s portfolio spans the access journey from Permission, enabling secure vehicle entry through advanced mechanical and electronic systems; to Motion, delivering effortless, reliable powered access that enhances everyday usability; and through to Hold, providing precision</w:t>
        <w:noBreakHyphen/>
        <w:t>engineered latching solutions that give drivers confidence through proven strength, safety, and durability trusted by OEMs worldwide.</w:t>
      </w:r>
    </w:p>
    <w:p>
      <w:pPr>
        <w:pStyle w:val="TextBody"/>
        <w:bidi w:val="0"/>
        <w:spacing w:before="0" w:after="60"/>
        <w:jc w:val="both"/>
        <w:rPr>
          <w:rFonts w:ascii="Times New Roman" w:hAnsi="Times New Roman"/>
          <w:sz w:val="22"/>
        </w:rPr>
      </w:pPr>
      <w:r>
        <w:rPr>
          <w:rFonts w:ascii="Times New Roman" w:hAnsi="Times New Roman"/>
          <w:color w:val="000000"/>
          <w:sz w:val="22"/>
        </w:rPr>
        <w:t>As access becomes increasingly intelligent, connected, and central to vehicle experience, Strattec’s strategy is to expand its market share, further diversify its customers and geographic reach while becoming the most trusted access partner to drive long</w:t>
        <w:noBreakHyphen/>
        <w:t xml:space="preserve">term growth across global automotive and mobility markets. For more information, visit </w:t>
      </w:r>
      <w:r>
        <w:rPr>
          <w:rFonts w:ascii="Times New Roman" w:hAnsi="Times New Roman"/>
          <w:sz w:val="22"/>
        </w:rPr>
        <w:t>www.strattec.com</w:t>
      </w:r>
      <w:r>
        <w:rPr>
          <w:rFonts w:ascii="Times New Roman" w:hAnsi="Times New Roman"/>
          <w:color w:val="000000"/>
          <w:sz w:val="22"/>
        </w:rPr>
        <w:t>.</w:t>
      </w:r>
    </w:p>
    <w:p>
      <w:pPr>
        <w:pStyle w:val="TextBody"/>
        <w:bidi w:val="0"/>
        <w:spacing w:before="80" w:after="20"/>
        <w:jc w:val="left"/>
        <w:rPr>
          <w:rFonts w:ascii="Times New Roman" w:hAnsi="Times New Roman"/>
          <w:b/>
          <w:smallCaps/>
          <w:color w:val="000000"/>
          <w:sz w:val="22"/>
        </w:rPr>
      </w:pPr>
      <w:r>
        <w:rPr>
          <w:rFonts w:ascii="Times New Roman" w:hAnsi="Times New Roman"/>
          <w:b/>
          <w:smallCaps/>
          <w:color w:val="000000"/>
          <w:sz w:val="22"/>
        </w:rPr>
        <w:t>Safe Harbor Statement</w:t>
      </w:r>
    </w:p>
    <w:p>
      <w:pPr>
        <w:pStyle w:val="TextBody"/>
        <w:bidi w:val="0"/>
        <w:spacing w:before="0" w:after="60"/>
        <w:jc w:val="both"/>
        <w:rPr>
          <w:rFonts w:ascii="Times New Roman" w:hAnsi="Times New Roman"/>
          <w:color w:val="000000"/>
          <w:sz w:val="22"/>
        </w:rPr>
      </w:pPr>
      <w:r>
        <w:rPr>
          <w:rFonts w:ascii="Times New Roman" w:hAnsi="Times New Roman"/>
          <w:color w:val="000000"/>
          <w:sz w:val="22"/>
        </w:rPr>
        <w:t>Certain statements contained in this release contain “forward-looking statements” within the meaning of the Private Securities Litigation Reform Act of 1995. These statements may be identified by the use of forward-looking words or phrases such as “anticipate,” “believe,” “could,” “expect,” “intend,” “may,” “planned,” “potential,” “should,” “will,” and “would.” Such forward-looking statements are inherently subject to many uncertainties in the Company’s operations and business environment. These uncertainties include general economic conditions, in particular, relating to the automotive industry, consumer demand for the Company’s and its customers’ products, competitive and technological developments, customer purchasing actions, changes in warranty provisions and customer product recall policies, work stoppages at the Company or at the location of its key customers as a result of labor disputes, foreign currency fluctuations, uncertainties stemming from U.S. trade policies, tariffs and reactions to the same from foreign countries, matters adversely impacting the timing and availability of component parts and raw materials needed for the production of the Company’s products and the products of its customers and fluctuations in costs of operation, the Company’s ability to identify, evaluate, negotiate and complete acquisitions or other strategic transactions on acceptable terms or at all, the costs incurred in pursuing such transactions, and the Company’s ability to integrate any acquired business and realize any potential benefits should a transaction occur. Shareholders, potential investors and other readers are urged to consider these factors carefully in evaluating the forward-looking statements and are cautioned not to place undue reliance on such forward-looking statements. Such uncertainties and other operational matters are discussed further in the Company’s quarterly and annual filings with the Securities and Exchange Commission. The forward-looking statements made herein are only made as of the date of this press release and the Company undertakes no obligation to publicly update such forward-looking statements to reflect subsequent events or circumstances occurring after the date of this release.</w:t>
      </w:r>
    </w:p>
    <w:p>
      <w:pPr>
        <w:pStyle w:val="TextBody"/>
        <w:bidi w:val="0"/>
        <w:spacing w:before="80" w:after="20"/>
        <w:jc w:val="left"/>
        <w:rPr>
          <w:rFonts w:ascii="Times New Roman" w:hAnsi="Times New Roman"/>
          <w:b/>
          <w:smallCaps/>
          <w:color w:val="000000"/>
          <w:sz w:val="22"/>
        </w:rPr>
      </w:pPr>
      <w:r>
        <w:rPr>
          <w:rFonts w:ascii="Times New Roman" w:hAnsi="Times New Roman"/>
          <w:b/>
          <w:smallCaps/>
          <w:color w:val="000000"/>
          <w:sz w:val="22"/>
        </w:rPr>
        <w:t>Use of Non-GAAP Financial Metrics and Additional Financial Information</w:t>
      </w:r>
    </w:p>
    <w:p>
      <w:pPr>
        <w:pStyle w:val="TextBody"/>
        <w:bidi w:val="0"/>
        <w:spacing w:before="0" w:after="60"/>
        <w:jc w:val="both"/>
        <w:rPr>
          <w:rFonts w:ascii="Times New Roman" w:hAnsi="Times New Roman"/>
          <w:color w:val="000000"/>
          <w:sz w:val="22"/>
        </w:rPr>
      </w:pPr>
      <w:r>
        <w:rPr>
          <w:rFonts w:ascii="Times New Roman" w:hAnsi="Times New Roman"/>
          <w:color w:val="000000"/>
          <w:sz w:val="22"/>
        </w:rPr>
        <w:t>In addition to reporting financial results in accordance with generally accepted accounting principles, or GAAP, Strattec provides Adjusted Non-GAAP information as additional information for its operating results. References to Adjusted Non-GAAP information are to non-GAAP financial measures. These measures are not required by, in accordance with, or an alternative for, GAAP and may be different from similarly titled non-GAAP financial measures used by other companies. Strattec’s management uses these measures to make strategic decisions, establish budget plans and forecasts, identify trends affecting Strattec’s business, and evaluate performance. Management believes that providing these non-GAAP financial measures to investors, as a supplement to GAAP financial measures, will help investors evaluate Strattec’s core operating and financial performance and business trends consistent with how management evaluates such performance and trends. Investors are encouraged to review the related GAAP financial measures and the reconciliation of these non-GAAP financial measures to their most directly comparable GAAP financial measures.</w:t>
      </w:r>
    </w:p>
    <w:p>
      <w:pPr>
        <w:pStyle w:val="TextBody"/>
        <w:bidi w:val="0"/>
        <w:spacing w:before="60" w:after="283"/>
        <w:jc w:val="left"/>
        <w:rPr>
          <w:rFonts w:ascii="Times New Roman" w:hAnsi="Times New Roman"/>
          <w:b/>
          <w:smallCaps/>
          <w:color w:val="000000"/>
          <w:sz w:val="22"/>
        </w:rPr>
      </w:pPr>
      <w:r>
        <w:rPr>
          <w:rFonts w:ascii="Times New Roman" w:hAnsi="Times New Roman"/>
          <w:b/>
          <w:smallCaps/>
          <w:color w:val="000000"/>
          <w:sz w:val="22"/>
        </w:rPr>
        <w:t>Investor Contact:</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283"/>
              <w:jc w:val="left"/>
              <w:rPr>
                <w:sz w:val="4"/>
                <w:szCs w:val="4"/>
              </w:rPr>
            </w:pPr>
            <w:r>
              <w:rPr>
                <w:sz w:val="4"/>
                <w:szCs w:val="4"/>
              </w:rPr>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Deborah K. Pawlowski, IRC</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Alliance Advisors IR</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Phone: 716-843-3908</w:t>
            </w:r>
          </w:p>
        </w:tc>
      </w:tr>
      <w:tr>
        <w:trPr/>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Email: </w:t>
            </w:r>
            <w:r>
              <w:rPr>
                <w:rFonts w:ascii="Times New Roman" w:hAnsi="Times New Roman"/>
                <w:sz w:val="22"/>
              </w:rPr>
              <w:t>dpawlowski@allianceadvisors.com</w:t>
            </w:r>
          </w:p>
        </w:tc>
      </w:tr>
    </w:tbl>
    <w:p>
      <w:pPr>
        <w:pStyle w:val="TextBody"/>
        <w:bidi w:val="0"/>
        <w:spacing w:before="240" w:after="283"/>
        <w:jc w:val="left"/>
        <w:rPr>
          <w:rFonts w:ascii="Times New Roman" w:hAnsi="Times New Roman"/>
          <w:b/>
          <w:color w:val="000000"/>
          <w:sz w:val="22"/>
          <w:u w:val="single"/>
        </w:rPr>
      </w:pPr>
      <w:r>
        <w:rPr>
          <w:rFonts w:ascii="Times New Roman" w:hAnsi="Times New Roman"/>
          <w:b/>
          <w:color w:val="000000"/>
          <w:sz w:val="22"/>
          <w:u w:val="single"/>
        </w:rPr>
        <w:t>FINANCIAL TABLES FOLLOW</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i/>
          <w:color w:val="000000"/>
          <w:sz w:val="18"/>
        </w:rPr>
      </w:pPr>
      <w:r>
        <w:rPr>
          <w:rFonts w:ascii="Times New Roman" w:hAnsi="Times New Roman"/>
          <w:b/>
          <w:i/>
          <w:color w:val="000000"/>
          <w:sz w:val="18"/>
        </w:rPr>
        <w:t xml:space="preserve">Strattec Transformation Continues to Deliver Strong Cash Generation; Generated $10.8 Million in Cash from Operations </w:t>
        <w:br/>
        <w:t>in First Quarter Fiscal 2027</w:t>
        <w:br/>
        <w:t>October 29, 2026</w:t>
      </w:r>
    </w:p>
    <w:p>
      <w:pPr>
        <w:pStyle w:val="TextBody"/>
        <w:bidi w:val="0"/>
        <w:jc w:val="left"/>
        <w:rPr>
          <w:rFonts w:ascii="Times New Roman" w:hAnsi="Times New Roman"/>
          <w:sz w:val="18"/>
        </w:rPr>
      </w:pPr>
      <w:r>
        <w:rPr>
          <w:rFonts w:ascii="Times New Roman" w:hAnsi="Times New Roman"/>
          <w:b/>
          <w:i/>
          <w:color w:val="000000"/>
          <w:sz w:val="18"/>
        </w:rPr>
        <w:t>Page 4</w:t>
      </w:r>
      <w:r>
        <w:rPr>
          <w:rFonts w:ascii="Times New Roman" w:hAnsi="Times New Roman"/>
          <w:color w:val="000000"/>
          <w:sz w:val="18"/>
        </w:rPr>
        <w:t xml:space="preserve"> </w:t>
      </w:r>
      <w:r>
        <w:rPr>
          <w:rFonts w:ascii="Times New Roman" w:hAnsi="Times New Roman"/>
          <w:b/>
          <w:i/>
          <w:color w:val="000000"/>
          <w:sz w:val="18"/>
        </w:rPr>
        <w:t>of 11</w:t>
      </w:r>
    </w:p>
    <w:p>
      <w:pPr>
        <w:pStyle w:val="TextBody"/>
        <w:bidi w:val="0"/>
        <w:jc w:val="left"/>
        <w:rPr/>
      </w:pPr>
      <w:r>
        <w:rPr/>
        <w:t> </w:t>
      </w:r>
    </w:p>
    <w:p>
      <w:pPr>
        <w:pStyle w:val="TextBody"/>
        <w:bidi w:val="0"/>
        <w:jc w:val="center"/>
        <w:rPr/>
      </w:pPr>
      <w:r>
        <w:rPr/>
        <w:t> </w:t>
      </w:r>
    </w:p>
    <w:tbl>
      <w:tblPr>
        <w:tblW w:w="8224" w:type="dxa"/>
        <w:jc w:val="left"/>
        <w:tblInd w:w="0" w:type="dxa"/>
        <w:tblLayout w:type="fixed"/>
        <w:tblCellMar>
          <w:top w:w="28" w:type="dxa"/>
          <w:left w:w="28" w:type="dxa"/>
          <w:bottom w:w="28" w:type="dxa"/>
          <w:right w:w="28" w:type="dxa"/>
        </w:tblCellMar>
      </w:tblPr>
      <w:tblGrid>
        <w:gridCol w:w="4436"/>
        <w:gridCol w:w="300"/>
        <w:gridCol w:w="1140"/>
        <w:gridCol w:w="271"/>
        <w:gridCol w:w="146"/>
        <w:gridCol w:w="300"/>
        <w:gridCol w:w="1140"/>
        <w:gridCol w:w="491"/>
      </w:tblGrid>
      <w:tr>
        <w:trPr/>
        <w:tc>
          <w:tcPr>
            <w:tcW w:w="443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733"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Strattec Security Corporation</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33"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Condensed Consolidated Statements of Income (unaudited)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33" w:type="dxa"/>
            <w:gridSpan w:val="7"/>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(in thousands, except per share amounts)</w:t>
            </w:r>
          </w:p>
        </w:tc>
        <w:tc>
          <w:tcPr>
            <w:tcW w:w="4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27,</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28,</w:t>
              <w:b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sales</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147,197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152,399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goods sold</w:t>
            </w:r>
          </w:p>
        </w:tc>
        <w:tc>
          <w:tcPr>
            <w:tcW w:w="30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122,882</w:t>
            </w:r>
          </w:p>
        </w:tc>
        <w:tc>
          <w:tcPr>
            <w:tcW w:w="27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126,064</w:t>
            </w:r>
          </w:p>
        </w:tc>
        <w:tc>
          <w:tcPr>
            <w:tcW w:w="491" w:type="dxa"/>
            <w:tcBorders>
              <w:bottom w:val="single" w:sz="4" w:space="0" w:color="000000"/>
            </w:tcBorders>
            <w:shd w:fill="D9EAF7"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Gross profit</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24,315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26,335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6" w:type="dxa"/>
            <w:tcBorders/>
            <w:shd w:fill="D9EAF7"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i/>
                <w:color w:val="000000"/>
                <w:sz w:val="18"/>
              </w:rPr>
            </w:pPr>
            <w:r>
              <w:rPr>
                <w:rFonts w:ascii="Arial" w:hAnsi="Arial"/>
                <w:i/>
                <w:color w:val="000000"/>
                <w:sz w:val="18"/>
              </w:rPr>
              <w:t>Gross margin</w:t>
            </w:r>
          </w:p>
        </w:tc>
        <w:tc>
          <w:tcPr>
            <w:tcW w:w="300"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16.5</w:t>
            </w:r>
          </w:p>
        </w:tc>
        <w:tc>
          <w:tcPr>
            <w:tcW w:w="27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17.3</w:t>
            </w:r>
          </w:p>
        </w:tc>
        <w:tc>
          <w:tcPr>
            <w:tcW w:w="49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administrative and engineering expenses</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17,892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15,888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36"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Income from operations</w:t>
            </w:r>
          </w:p>
        </w:tc>
        <w:tc>
          <w:tcPr>
            <w:tcW w:w="300"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6,423</w:t>
            </w:r>
          </w:p>
        </w:tc>
        <w:tc>
          <w:tcPr>
            <w:tcW w:w="27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10,447</w:t>
            </w:r>
          </w:p>
        </w:tc>
        <w:tc>
          <w:tcPr>
            <w:tcW w:w="491" w:type="dxa"/>
            <w:tcBorders/>
            <w:shd w:fill="D9EA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i/>
                <w:color w:val="000000"/>
                <w:sz w:val="18"/>
              </w:rPr>
            </w:pPr>
            <w:r>
              <w:rPr>
                <w:rFonts w:ascii="Arial" w:hAnsi="Arial"/>
                <w:i/>
                <w:color w:val="000000"/>
                <w:sz w:val="18"/>
              </w:rPr>
              <w:t>Operating margin</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6.9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r>
      <w:tr>
        <w:trPr/>
        <w:tc>
          <w:tcPr>
            <w:tcW w:w="443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300"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989</w:t>
            </w:r>
          </w:p>
        </w:tc>
        <w:tc>
          <w:tcPr>
            <w:tcW w:w="27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877</w:t>
            </w:r>
          </w:p>
        </w:tc>
        <w:tc>
          <w:tcPr>
            <w:tcW w:w="49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3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net</w:t>
            </w:r>
          </w:p>
        </w:tc>
        <w:tc>
          <w:tcPr>
            <w:tcW w:w="30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w:t>
            </w:r>
          </w:p>
        </w:tc>
        <w:tc>
          <w:tcPr>
            <w:tcW w:w="27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w:t>
            </w:r>
          </w:p>
        </w:tc>
        <w:tc>
          <w:tcPr>
            <w:tcW w:w="491" w:type="dxa"/>
            <w:tcBorders>
              <w:bottom w:val="single" w:sz="4" w:space="0" w:color="000000"/>
            </w:tcBorders>
            <w:shd w:fill="D9EAF7"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Income before provision for income taxes and </w:t>
              <w:br/>
              <w:t>non-controlling interest</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10,893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30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1,881</w:t>
            </w:r>
          </w:p>
        </w:tc>
        <w:tc>
          <w:tcPr>
            <w:tcW w:w="27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2,356</w:t>
            </w:r>
          </w:p>
        </w:tc>
        <w:tc>
          <w:tcPr>
            <w:tcW w:w="491" w:type="dxa"/>
            <w:tcBorders>
              <w:bottom w:val="single" w:sz="4" w:space="0" w:color="000000"/>
            </w:tcBorders>
            <w:shd w:fill="D9EAF7"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non-controlling interest</w:t>
            </w:r>
          </w:p>
        </w:tc>
        <w:tc>
          <w:tcPr>
            <w:tcW w:w="30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w:t>
            </w:r>
          </w:p>
        </w:tc>
        <w:tc>
          <w:tcPr>
            <w:tcW w:w="27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91" w:type="dxa"/>
            <w:tcBorders>
              <w:bottom w:val="single" w:sz="4" w:space="0" w:color="000000"/>
            </w:tcBorders>
            <w:shd w:fill="D9EAF7"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Net income attributable to Strattec</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8,529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Earnings per share attributable to Strattec</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436"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300"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0"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271"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0"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491" w:type="dxa"/>
            <w:tcBorders>
              <w:bottom w:val="double" w:sz="6" w:space="0" w:color="000000"/>
            </w:tcBorders>
            <w:shd w:fill="D9EAF7"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outstanding:</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436"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300"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3,970</w:t>
            </w:r>
          </w:p>
        </w:tc>
        <w:tc>
          <w:tcPr>
            <w:tcW w:w="27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4,054</w:t>
            </w:r>
          </w:p>
        </w:tc>
        <w:tc>
          <w:tcPr>
            <w:tcW w:w="491"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i/>
          <w:color w:val="000000"/>
          <w:sz w:val="18"/>
        </w:rPr>
      </w:pPr>
      <w:r>
        <w:rPr>
          <w:rFonts w:ascii="Times New Roman" w:hAnsi="Times New Roman"/>
          <w:b/>
          <w:i/>
          <w:color w:val="000000"/>
          <w:sz w:val="18"/>
        </w:rPr>
        <w:t xml:space="preserve">Strattec Transformation Continues to Deliver Strong Cash Generation; Generated $10.8 Million in Cash from Operations </w:t>
        <w:br/>
        <w:t>in First Quarter Fiscal 2027</w:t>
        <w:br/>
        <w:t>October 29, 2026</w:t>
      </w:r>
    </w:p>
    <w:p>
      <w:pPr>
        <w:pStyle w:val="TextBody"/>
        <w:bidi w:val="0"/>
        <w:jc w:val="left"/>
        <w:rPr>
          <w:rFonts w:ascii="Times New Roman" w:hAnsi="Times New Roman"/>
          <w:sz w:val="18"/>
        </w:rPr>
      </w:pPr>
      <w:r>
        <w:rPr>
          <w:rFonts w:ascii="Times New Roman" w:hAnsi="Times New Roman"/>
          <w:b/>
          <w:i/>
          <w:color w:val="000000"/>
          <w:sz w:val="18"/>
        </w:rPr>
        <w:t>Page 5</w:t>
      </w:r>
      <w:r>
        <w:rPr>
          <w:rFonts w:ascii="Times New Roman" w:hAnsi="Times New Roman"/>
          <w:color w:val="000000"/>
          <w:sz w:val="18"/>
        </w:rPr>
        <w:t xml:space="preserve"> </w:t>
      </w:r>
      <w:r>
        <w:rPr>
          <w:rFonts w:ascii="Times New Roman" w:hAnsi="Times New Roman"/>
          <w:b/>
          <w:i/>
          <w:color w:val="000000"/>
          <w:sz w:val="18"/>
        </w:rPr>
        <w:t>of 11</w:t>
      </w:r>
    </w:p>
    <w:p>
      <w:pPr>
        <w:pStyle w:val="TextBody"/>
        <w:bidi w:val="0"/>
        <w:jc w:val="left"/>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12"/>
        <w:gridCol w:w="244"/>
        <w:gridCol w:w="997"/>
        <w:gridCol w:w="166"/>
        <w:gridCol w:w="146"/>
        <w:gridCol w:w="211"/>
        <w:gridCol w:w="856"/>
        <w:gridCol w:w="773"/>
      </w:tblGrid>
      <w:tr>
        <w:trPr/>
        <w:tc>
          <w:tcPr>
            <w:tcW w:w="68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943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Strattec Security Corporation</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3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Condensed Consolidated Balance Sheets (unaudited)</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32" w:type="dxa"/>
            <w:gridSpan w:val="7"/>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(in thousands, except share amounts)</w:t>
            </w:r>
          </w:p>
        </w:tc>
        <w:tc>
          <w:tcPr>
            <w:tcW w:w="77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27,</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28,</w:t>
              <w:br/>
              <w:t>2026</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241"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244"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111,766</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108,243</w:t>
            </w:r>
          </w:p>
        </w:tc>
        <w:tc>
          <w:tcPr>
            <w:tcW w:w="773"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Receivables, net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99,109</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Inventories, net</w:t>
            </w:r>
          </w:p>
        </w:tc>
        <w:tc>
          <w:tcPr>
            <w:tcW w:w="244"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64,903</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64,310</w:t>
            </w:r>
          </w:p>
        </w:tc>
        <w:tc>
          <w:tcPr>
            <w:tcW w:w="773"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Pre-production costs</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6,489</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Value-added tax recoverable</w:t>
            </w:r>
          </w:p>
        </w:tc>
        <w:tc>
          <w:tcPr>
            <w:tcW w:w="244"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9,827</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10,069</w:t>
            </w:r>
          </w:p>
        </w:tc>
        <w:tc>
          <w:tcPr>
            <w:tcW w:w="773"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assets</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8,053</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244"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292,936</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296,273</w:t>
            </w:r>
          </w:p>
        </w:tc>
        <w:tc>
          <w:tcPr>
            <w:tcW w:w="773"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Assets:</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plant and equipment, net</w:t>
            </w:r>
          </w:p>
        </w:tc>
        <w:tc>
          <w:tcPr>
            <w:tcW w:w="244"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67,321</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69,845</w:t>
            </w:r>
          </w:p>
        </w:tc>
        <w:tc>
          <w:tcPr>
            <w:tcW w:w="773"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income taxes</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16,080</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long-term assets</w:t>
            </w:r>
          </w:p>
        </w:tc>
        <w:tc>
          <w:tcPr>
            <w:tcW w:w="244"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5,143</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5,281</w:t>
            </w:r>
          </w:p>
        </w:tc>
        <w:tc>
          <w:tcPr>
            <w:tcW w:w="773"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Assets</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381,543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387,479</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SHAREHOLDERS’ EQUITY</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241"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54,973</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payroll and benefits</w:t>
            </w:r>
          </w:p>
        </w:tc>
        <w:tc>
          <w:tcPr>
            <w:tcW w:w="244"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15,001</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20,773</w:t>
            </w:r>
          </w:p>
        </w:tc>
        <w:tc>
          <w:tcPr>
            <w:tcW w:w="773"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Value-added tax payable</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7,429</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Warranty reserve</w:t>
            </w:r>
          </w:p>
        </w:tc>
        <w:tc>
          <w:tcPr>
            <w:tcW w:w="244"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5,677</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6,673</w:t>
            </w:r>
          </w:p>
        </w:tc>
        <w:tc>
          <w:tcPr>
            <w:tcW w:w="773"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12,383</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244"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96,925</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102,231</w:t>
            </w:r>
          </w:p>
        </w:tc>
        <w:tc>
          <w:tcPr>
            <w:tcW w:w="773"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Liabilities:</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Post-employment benefits</w:t>
            </w:r>
          </w:p>
        </w:tc>
        <w:tc>
          <w:tcPr>
            <w:tcW w:w="244"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12,800</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13,350</w:t>
            </w:r>
          </w:p>
        </w:tc>
        <w:tc>
          <w:tcPr>
            <w:tcW w:w="773"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noncurrent liabilities</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6,401</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Liabilities</w:t>
            </w:r>
          </w:p>
        </w:tc>
        <w:tc>
          <w:tcPr>
            <w:tcW w:w="244"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116,485</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121,982</w:t>
            </w:r>
          </w:p>
        </w:tc>
        <w:tc>
          <w:tcPr>
            <w:tcW w:w="773"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Shareholders’ Equity:</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Common stock, authorized 18,000,000 shares, $.01 par value, 7,738,324 issued shares at September 27, 2026 and 7,704,994 issued shares at June 28, 2026</w:t>
            </w:r>
          </w:p>
        </w:tc>
        <w:tc>
          <w:tcPr>
            <w:tcW w:w="244"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773"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Capital in excess of par value</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107,138</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Retained earnings</w:t>
            </w:r>
          </w:p>
        </w:tc>
        <w:tc>
          <w:tcPr>
            <w:tcW w:w="244"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294,728</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289,895</w:t>
            </w:r>
          </w:p>
        </w:tc>
        <w:tc>
          <w:tcPr>
            <w:tcW w:w="773"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(14,143</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Less: treasury stock, at cost (3,807,746 shares at September 27, 2026 and 3,727,322 shares at June 28, 2026)</w:t>
            </w:r>
          </w:p>
        </w:tc>
        <w:tc>
          <w:tcPr>
            <w:tcW w:w="244"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(150,363</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(144,321</w:t>
            </w:r>
          </w:p>
        </w:tc>
        <w:tc>
          <w:tcPr>
            <w:tcW w:w="773" w:type="dxa"/>
            <w:tcBorders>
              <w:bottom w:val="single" w:sz="4" w:space="0" w:color="000000"/>
            </w:tcBorders>
            <w:shd w:fill="D9EAF7"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Strattec shareholders’ equity</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238,646</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Non-controlling interest</w:t>
            </w:r>
          </w:p>
        </w:tc>
        <w:tc>
          <w:tcPr>
            <w:tcW w:w="244"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27,202</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26,851</w:t>
            </w:r>
          </w:p>
        </w:tc>
        <w:tc>
          <w:tcPr>
            <w:tcW w:w="773"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r>
      <w:tr>
        <w:trPr/>
        <w:tc>
          <w:tcPr>
            <w:tcW w:w="68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Shareholders' Equity</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265,058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265,497</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2"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Liabilities and Shareholders' Equity</w:t>
            </w:r>
          </w:p>
        </w:tc>
        <w:tc>
          <w:tcPr>
            <w:tcW w:w="244"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7"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381,543</w:t>
            </w:r>
          </w:p>
        </w:tc>
        <w:tc>
          <w:tcPr>
            <w:tcW w:w="16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387,479</w:t>
            </w:r>
          </w:p>
        </w:tc>
        <w:tc>
          <w:tcPr>
            <w:tcW w:w="773"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i/>
          <w:color w:val="000000"/>
          <w:sz w:val="18"/>
        </w:rPr>
      </w:pPr>
      <w:r>
        <w:rPr>
          <w:rFonts w:ascii="Times New Roman" w:hAnsi="Times New Roman"/>
          <w:b/>
          <w:i/>
          <w:color w:val="000000"/>
          <w:sz w:val="18"/>
        </w:rPr>
        <w:t xml:space="preserve">Strattec Transformation Continues to Deliver Strong Cash Generation; Generated $10.8 Million in Cash from Operations </w:t>
        <w:br/>
        <w:t>in First Quarter Fiscal 2027</w:t>
        <w:br/>
        <w:t>October 29, 2026</w:t>
      </w:r>
    </w:p>
    <w:p>
      <w:pPr>
        <w:pStyle w:val="TextBody"/>
        <w:bidi w:val="0"/>
        <w:jc w:val="left"/>
        <w:rPr>
          <w:rFonts w:ascii="Times New Roman" w:hAnsi="Times New Roman"/>
          <w:sz w:val="18"/>
        </w:rPr>
      </w:pPr>
      <w:r>
        <w:rPr>
          <w:rFonts w:ascii="Times New Roman" w:hAnsi="Times New Roman"/>
          <w:b/>
          <w:i/>
          <w:color w:val="000000"/>
          <w:sz w:val="18"/>
        </w:rPr>
        <w:t>Page 6</w:t>
      </w:r>
      <w:r>
        <w:rPr>
          <w:rFonts w:ascii="Times New Roman" w:hAnsi="Times New Roman"/>
          <w:color w:val="000000"/>
          <w:sz w:val="18"/>
        </w:rPr>
        <w:t xml:space="preserve"> </w:t>
      </w:r>
      <w:r>
        <w:rPr>
          <w:rFonts w:ascii="Times New Roman" w:hAnsi="Times New Roman"/>
          <w:b/>
          <w:i/>
          <w:color w:val="000000"/>
          <w:sz w:val="18"/>
        </w:rPr>
        <w:t>of 11</w:t>
      </w:r>
    </w:p>
    <w:p>
      <w:pPr>
        <w:pStyle w:val="TextBody"/>
        <w:bidi w:val="0"/>
        <w:jc w:val="left"/>
        <w:rPr/>
      </w:pPr>
      <w:r>
        <w:rPr/>
        <w:t> </w:t>
      </w:r>
    </w:p>
    <w:p>
      <w:pPr>
        <w:pStyle w:val="TextBody"/>
        <w:bidi w:val="0"/>
        <w:jc w:val="center"/>
        <w:rPr>
          <w:rFonts w:ascii="Roboto;sans-serif" w:hAnsi="Roboto;sans-serif"/>
          <w:b/>
          <w:i/>
          <w:color w:val="000000"/>
          <w:sz w:val="24"/>
        </w:rPr>
      </w:pPr>
      <w:r>
        <w:rPr>
          <w:rFonts w:ascii="Roboto;sans-serif" w:hAnsi="Roboto;sans-serif"/>
          <w:b/>
          <w:i/>
          <w:color w:val="000000"/>
          <w:sz w:val="24"/>
        </w:rPr>
        <w:t>s</w:t>
      </w:r>
    </w:p>
    <w:tbl>
      <w:tblPr>
        <w:tblW w:w="10205" w:type="dxa"/>
        <w:jc w:val="left"/>
        <w:tblInd w:w="0" w:type="dxa"/>
        <w:tblLayout w:type="fixed"/>
        <w:tblCellMar>
          <w:top w:w="28" w:type="dxa"/>
          <w:left w:w="28" w:type="dxa"/>
          <w:bottom w:w="28" w:type="dxa"/>
          <w:right w:w="28" w:type="dxa"/>
        </w:tblCellMar>
      </w:tblPr>
      <w:tblGrid>
        <w:gridCol w:w="6121"/>
        <w:gridCol w:w="283"/>
        <w:gridCol w:w="1076"/>
        <w:gridCol w:w="166"/>
        <w:gridCol w:w="146"/>
        <w:gridCol w:w="316"/>
        <w:gridCol w:w="1043"/>
        <w:gridCol w:w="1054"/>
      </w:tblGrid>
      <w:tr>
        <w:trPr/>
        <w:tc>
          <w:tcPr>
            <w:tcW w:w="61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915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Strattec Security Corporation</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51"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Condensed Consolidated Statement of Cash Flows (unaudited)</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51" w:type="dxa"/>
            <w:gridSpan w:val="7"/>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(in thousands)</w:t>
            </w:r>
          </w:p>
        </w:tc>
        <w:tc>
          <w:tcPr>
            <w:tcW w:w="105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27,</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September 28,</w:t>
              <w:br/>
              <w:t>2025</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ACTIVITIES:</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283"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5,311</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3"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8,537</w:t>
            </w:r>
          </w:p>
        </w:tc>
        <w:tc>
          <w:tcPr>
            <w:tcW w:w="1054"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Adjustments to reconcile net income to net cash provided by operating activities:</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Depreciation</w:t>
            </w:r>
          </w:p>
        </w:tc>
        <w:tc>
          <w:tcPr>
            <w:tcW w:w="283"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3,492</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3,785</w:t>
            </w:r>
          </w:p>
        </w:tc>
        <w:tc>
          <w:tcPr>
            <w:tcW w:w="1054" w:type="dxa"/>
            <w:tcBorders/>
            <w:shd w:fill="D9EAF7"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Foreign currency transaction (gain) loss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Unrealized loss (gain) on peso forward contracts</w:t>
            </w:r>
          </w:p>
        </w:tc>
        <w:tc>
          <w:tcPr>
            <w:tcW w:w="283"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1,425</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w:t>
            </w:r>
          </w:p>
        </w:tc>
        <w:tc>
          <w:tcPr>
            <w:tcW w:w="1054" w:type="dxa"/>
            <w:tcBorders/>
            <w:shd w:fill="D9EAF7"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Stock-based compensation expense</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net</w:t>
            </w:r>
          </w:p>
        </w:tc>
        <w:tc>
          <w:tcPr>
            <w:tcW w:w="283"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1054" w:type="dxa"/>
            <w:tcBorders/>
            <w:shd w:fill="D9EAF7"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Change in operating assets and liabilities</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Receivables</w:t>
            </w:r>
          </w:p>
        </w:tc>
        <w:tc>
          <w:tcPr>
            <w:tcW w:w="283"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3,934</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w:t>
            </w:r>
          </w:p>
        </w:tc>
        <w:tc>
          <w:tcPr>
            <w:tcW w:w="1054" w:type="dxa"/>
            <w:tcBorders/>
            <w:shd w:fill="D9EAF7"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Inventories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3,109</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Prepaids and other assets</w:t>
            </w:r>
          </w:p>
        </w:tc>
        <w:tc>
          <w:tcPr>
            <w:tcW w:w="283"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2,239</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3,804</w:t>
            </w:r>
          </w:p>
        </w:tc>
        <w:tc>
          <w:tcPr>
            <w:tcW w:w="1054" w:type="dxa"/>
            <w:tcBorders/>
            <w:shd w:fill="D9EAF7"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Accounts payable</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(4,817</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Accrued liabilities</w:t>
            </w:r>
          </w:p>
        </w:tc>
        <w:tc>
          <w:tcPr>
            <w:tcW w:w="283"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(5,909</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(3,880</w:t>
            </w:r>
          </w:p>
        </w:tc>
        <w:tc>
          <w:tcPr>
            <w:tcW w:w="1054" w:type="dxa"/>
            <w:tcBorders>
              <w:bottom w:val="single" w:sz="4" w:space="0" w:color="000000"/>
            </w:tcBorders>
            <w:shd w:fill="D9EAF7"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Net cash provided by operating activities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11,327</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59"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INVESTING ACTIVITIES:</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 of property, plant and equipment</w:t>
            </w:r>
          </w:p>
        </w:tc>
        <w:tc>
          <w:tcPr>
            <w:tcW w:w="283"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(1,185</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(1,529</w:t>
            </w:r>
          </w:p>
        </w:tc>
        <w:tc>
          <w:tcPr>
            <w:tcW w:w="1054" w:type="dxa"/>
            <w:tcBorders>
              <w:bottom w:val="single" w:sz="4" w:space="0" w:color="000000"/>
            </w:tcBorders>
            <w:shd w:fill="D9EAF7"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Net cash used in investing activities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(1,529</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59"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FINANCING ACTIVITIES:</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Repayment of borrowings under credit facilities</w:t>
            </w:r>
          </w:p>
        </w:tc>
        <w:tc>
          <w:tcPr>
            <w:tcW w:w="283"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D9EA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w:t>
            </w:r>
          </w:p>
        </w:tc>
        <w:tc>
          <w:tcPr>
            <w:tcW w:w="1054"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Payment for taxes withheld from stock-based awards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(919</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Repurchases of common stock under share repurchase program</w:t>
            </w:r>
          </w:p>
        </w:tc>
        <w:tc>
          <w:tcPr>
            <w:tcW w:w="283"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(4,973</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9EA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4"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Employee stock purchases</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20"/>
              </w:rPr>
            </w:pPr>
            <w:r>
              <w:rPr>
                <w:rFonts w:ascii="Arial" w:hAnsi="Arial"/>
                <w:b/>
                <w:color w:val="000000"/>
                <w:sz w:val="20"/>
              </w:rPr>
              <w:t>Net cash used in financing activities</w:t>
            </w:r>
          </w:p>
        </w:tc>
        <w:tc>
          <w:tcPr>
            <w:tcW w:w="283"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(5,997</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(3,903</w:t>
            </w:r>
          </w:p>
        </w:tc>
        <w:tc>
          <w:tcPr>
            <w:tcW w:w="1054"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impact on cash</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pPr>
            <w:r>
              <w:rPr/>
              <w:t> </w:t>
            </w:r>
          </w:p>
        </w:tc>
        <w:tc>
          <w:tcPr>
            <w:tcW w:w="1054"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INCREASE IN CASH AND CASH EQUIVALENTS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5,894</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Beginning of period</w:t>
            </w:r>
          </w:p>
        </w:tc>
        <w:tc>
          <w:tcPr>
            <w:tcW w:w="283"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108,243</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84,579</w:t>
            </w:r>
          </w:p>
        </w:tc>
        <w:tc>
          <w:tcPr>
            <w:tcW w:w="1054" w:type="dxa"/>
            <w:tcBorders>
              <w:bottom w:val="single" w:sz="4" w:space="0" w:color="000000"/>
            </w:tcBorders>
            <w:shd w:fill="D9EAF7"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End of period</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90,473</w:t>
            </w:r>
          </w:p>
        </w:tc>
        <w:tc>
          <w:tcPr>
            <w:tcW w:w="105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59"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CASH FLOW INFORMATION:</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paid during the period for:</w:t>
            </w:r>
          </w:p>
        </w:tc>
        <w:tc>
          <w:tcPr>
            <w:tcW w:w="1359"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D9EAF7"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taxes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582</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w:t>
            </w:r>
          </w:p>
        </w:tc>
        <w:tc>
          <w:tcPr>
            <w:tcW w:w="283"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6" w:type="dxa"/>
            <w:tcBorders/>
            <w:shd w:fill="D9EA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3"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c>
          <w:tcPr>
            <w:tcW w:w="1054"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Non-cash investing activities:</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121" w:type="dxa"/>
            <w:tcBorders/>
            <w:shd w:fill="D9EAF7"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 in capital expenditures in accounts payable</w:t>
            </w:r>
          </w:p>
        </w:tc>
        <w:tc>
          <w:tcPr>
            <w:tcW w:w="283"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3"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054"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i/>
          <w:color w:val="000000"/>
          <w:sz w:val="18"/>
        </w:rPr>
      </w:pPr>
      <w:r>
        <w:rPr>
          <w:rFonts w:ascii="Times New Roman" w:hAnsi="Times New Roman"/>
          <w:b/>
          <w:i/>
          <w:color w:val="000000"/>
          <w:sz w:val="18"/>
        </w:rPr>
        <w:t xml:space="preserve">Strattec Transformation Continues to Deliver Strong Cash Generation; Generated $10.8 Million in Cash from Operations </w:t>
        <w:br/>
        <w:t>in First Quarter Fiscal 2027</w:t>
        <w:br/>
        <w:t>October 29, 2026</w:t>
      </w:r>
    </w:p>
    <w:p>
      <w:pPr>
        <w:pStyle w:val="TextBody"/>
        <w:bidi w:val="0"/>
        <w:jc w:val="left"/>
        <w:rPr>
          <w:rFonts w:ascii="Times New Roman" w:hAnsi="Times New Roman"/>
          <w:sz w:val="18"/>
        </w:rPr>
      </w:pPr>
      <w:r>
        <w:rPr>
          <w:rFonts w:ascii="Times New Roman" w:hAnsi="Times New Roman"/>
          <w:b/>
          <w:i/>
          <w:color w:val="000000"/>
          <w:sz w:val="18"/>
        </w:rPr>
        <w:t>Page 7</w:t>
      </w:r>
      <w:r>
        <w:rPr>
          <w:rFonts w:ascii="Times New Roman" w:hAnsi="Times New Roman"/>
          <w:color w:val="000000"/>
          <w:sz w:val="18"/>
        </w:rPr>
        <w:t xml:space="preserve"> </w:t>
      </w:r>
      <w:r>
        <w:rPr>
          <w:rFonts w:ascii="Times New Roman" w:hAnsi="Times New Roman"/>
          <w:b/>
          <w:i/>
          <w:color w:val="000000"/>
          <w:sz w:val="18"/>
        </w:rPr>
        <w:t>of 11</w:t>
      </w:r>
    </w:p>
    <w:p>
      <w:pPr>
        <w:pStyle w:val="TextBody"/>
        <w:bidi w:val="0"/>
        <w:jc w:val="left"/>
        <w:rPr/>
      </w:pPr>
      <w:r>
        <w:rPr/>
        <w:t> </w:t>
      </w:r>
    </w:p>
    <w:tbl>
      <w:tblPr>
        <w:tblW w:w="12297" w:type="dxa"/>
        <w:jc w:val="left"/>
        <w:tblInd w:w="0" w:type="dxa"/>
        <w:tblLayout w:type="fixed"/>
        <w:tblCellMar>
          <w:top w:w="28" w:type="dxa"/>
          <w:left w:w="28" w:type="dxa"/>
          <w:bottom w:w="28" w:type="dxa"/>
          <w:right w:w="28" w:type="dxa"/>
        </w:tblCellMar>
      </w:tblPr>
      <w:tblGrid>
        <w:gridCol w:w="1486"/>
        <w:gridCol w:w="211"/>
        <w:gridCol w:w="796"/>
        <w:gridCol w:w="286"/>
        <w:gridCol w:w="211"/>
        <w:gridCol w:w="796"/>
        <w:gridCol w:w="286"/>
        <w:gridCol w:w="211"/>
        <w:gridCol w:w="796"/>
        <w:gridCol w:w="286"/>
        <w:gridCol w:w="211"/>
        <w:gridCol w:w="796"/>
        <w:gridCol w:w="286"/>
        <w:gridCol w:w="211"/>
        <w:gridCol w:w="796"/>
        <w:gridCol w:w="286"/>
        <w:gridCol w:w="146"/>
        <w:gridCol w:w="211"/>
        <w:gridCol w:w="796"/>
        <w:gridCol w:w="286"/>
        <w:gridCol w:w="211"/>
        <w:gridCol w:w="166"/>
        <w:gridCol w:w="146"/>
        <w:gridCol w:w="211"/>
        <w:gridCol w:w="166"/>
        <w:gridCol w:w="146"/>
        <w:gridCol w:w="211"/>
        <w:gridCol w:w="166"/>
        <w:gridCol w:w="146"/>
        <w:gridCol w:w="211"/>
        <w:gridCol w:w="796"/>
        <w:gridCol w:w="331"/>
      </w:tblGrid>
      <w:tr>
        <w:trPr/>
        <w:tc>
          <w:tcPr>
            <w:tcW w:w="1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8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Strattec Security Corporation</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Reconciliation of GAAP to Non-GAAP Financial Measures</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(in thousands, except per share amounts)</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Fiscal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Fiscal 2027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SALES:</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 (GAAP)</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152,399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137,534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137,632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151,827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579,392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147,197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147,197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GROSS PROFIT:</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Profit (GAAP)</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26,335</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22,722</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22,661</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23,647</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95,365</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24,315</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24,315</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Margin as a % of Net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4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 and similar charges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Business transformation costs</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 program settlements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33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Gross Profit (Non-GAAP)</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26,335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22,813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22,237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23,902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95,287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24,418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24,418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Gross Margin as a % of Net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4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SELLING, ADMINISTRATIVE AND ENGINEERING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administrative and engineering expenses (GAAP)</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15,888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17,860</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17,615</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17,479</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68,842</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17,892</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17,892</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administrative and engineering expenses as a % of Net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4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 and similar charges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Executive transition costs</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Business transformation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4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Business development costs</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(2,368</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 program settlements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(2,652</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(925</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(1,755</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(5,982</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(2,856</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(2,856</w:t>
            </w:r>
          </w:p>
        </w:tc>
        <w:tc>
          <w:tcPr>
            <w:tcW w:w="33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i/>
          <w:color w:val="000000"/>
          <w:sz w:val="18"/>
        </w:rPr>
      </w:pPr>
      <w:r>
        <w:rPr>
          <w:rFonts w:ascii="Times New Roman" w:hAnsi="Times New Roman"/>
          <w:b/>
          <w:i/>
          <w:color w:val="000000"/>
          <w:sz w:val="18"/>
        </w:rPr>
        <w:t xml:space="preserve">Strattec Transformation Continues to Deliver Strong Cash Generation; Generated $10.8 Million in Cash from Operations </w:t>
        <w:br/>
        <w:t>in First Quarter Fiscal 2027</w:t>
        <w:br/>
        <w:t>October 29, 2026</w:t>
      </w:r>
    </w:p>
    <w:p>
      <w:pPr>
        <w:pStyle w:val="TextBody"/>
        <w:bidi w:val="0"/>
        <w:jc w:val="left"/>
        <w:rPr>
          <w:rFonts w:ascii="Times New Roman" w:hAnsi="Times New Roman"/>
          <w:sz w:val="18"/>
        </w:rPr>
      </w:pPr>
      <w:r>
        <w:rPr>
          <w:rFonts w:ascii="Times New Roman" w:hAnsi="Times New Roman"/>
          <w:b/>
          <w:i/>
          <w:color w:val="000000"/>
          <w:sz w:val="18"/>
        </w:rPr>
        <w:t>Page 8</w:t>
      </w:r>
      <w:r>
        <w:rPr>
          <w:rFonts w:ascii="Times New Roman" w:hAnsi="Times New Roman"/>
          <w:color w:val="000000"/>
          <w:sz w:val="18"/>
        </w:rPr>
        <w:t xml:space="preserve"> </w:t>
      </w:r>
      <w:r>
        <w:rPr>
          <w:rFonts w:ascii="Times New Roman" w:hAnsi="Times New Roman"/>
          <w:b/>
          <w:i/>
          <w:color w:val="000000"/>
          <w:sz w:val="18"/>
        </w:rPr>
        <w:t>of 11</w:t>
      </w:r>
    </w:p>
    <w:p>
      <w:pPr>
        <w:pStyle w:val="TextBody"/>
        <w:bidi w:val="0"/>
        <w:jc w:val="left"/>
        <w:rPr/>
      </w:pPr>
      <w:r>
        <w:rPr/>
        <w:t> </w:t>
      </w:r>
    </w:p>
    <w:tbl>
      <w:tblPr>
        <w:tblW w:w="11442" w:type="dxa"/>
        <w:jc w:val="left"/>
        <w:tblInd w:w="0" w:type="dxa"/>
        <w:tblLayout w:type="fixed"/>
        <w:tblCellMar>
          <w:top w:w="28" w:type="dxa"/>
          <w:left w:w="28" w:type="dxa"/>
          <w:bottom w:w="28" w:type="dxa"/>
          <w:right w:w="28" w:type="dxa"/>
        </w:tblCellMar>
      </w:tblPr>
      <w:tblGrid>
        <w:gridCol w:w="1366"/>
        <w:gridCol w:w="211"/>
        <w:gridCol w:w="691"/>
        <w:gridCol w:w="286"/>
        <w:gridCol w:w="211"/>
        <w:gridCol w:w="691"/>
        <w:gridCol w:w="286"/>
        <w:gridCol w:w="211"/>
        <w:gridCol w:w="691"/>
        <w:gridCol w:w="286"/>
        <w:gridCol w:w="211"/>
        <w:gridCol w:w="691"/>
        <w:gridCol w:w="286"/>
        <w:gridCol w:w="211"/>
        <w:gridCol w:w="691"/>
        <w:gridCol w:w="286"/>
        <w:gridCol w:w="146"/>
        <w:gridCol w:w="211"/>
        <w:gridCol w:w="691"/>
        <w:gridCol w:w="286"/>
        <w:gridCol w:w="211"/>
        <w:gridCol w:w="166"/>
        <w:gridCol w:w="146"/>
        <w:gridCol w:w="211"/>
        <w:gridCol w:w="166"/>
        <w:gridCol w:w="146"/>
        <w:gridCol w:w="211"/>
        <w:gridCol w:w="166"/>
        <w:gridCol w:w="146"/>
        <w:gridCol w:w="211"/>
        <w:gridCol w:w="691"/>
        <w:gridCol w:w="331"/>
      </w:tblGrid>
      <w:tr>
        <w:trPr/>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Selling, administrative and engineering expenses (Non-GAAP)</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15,238</w:t>
            </w:r>
          </w:p>
        </w:tc>
        <w:tc>
          <w:tcPr>
            <w:tcW w:w="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15,208</w:t>
            </w:r>
          </w:p>
        </w:tc>
        <w:tc>
          <w:tcPr>
            <w:tcW w:w="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16,690</w:t>
            </w:r>
          </w:p>
        </w:tc>
        <w:tc>
          <w:tcPr>
            <w:tcW w:w="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15,724</w:t>
            </w:r>
          </w:p>
        </w:tc>
        <w:tc>
          <w:tcPr>
            <w:tcW w:w="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62,860</w:t>
            </w:r>
          </w:p>
        </w:tc>
        <w:tc>
          <w:tcPr>
            <w:tcW w:w="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15,036</w:t>
            </w:r>
          </w:p>
        </w:tc>
        <w:tc>
          <w:tcPr>
            <w:tcW w:w="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15,036</w:t>
            </w:r>
          </w:p>
        </w:tc>
        <w:tc>
          <w:tcPr>
            <w:tcW w:w="3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Selling, administrative and engineering expenses as a % of Net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3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OPERATING INCOME:</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from operations (GAAP)</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10,447</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4,862</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5,046</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26,523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6,423</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 as a % of Net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36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 and similar charges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Executive transition costs</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Business transformation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Business development costs</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2,368</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 program settlements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2,743</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2,010</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5,904</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2,959</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2,959</w:t>
            </w:r>
          </w:p>
        </w:tc>
        <w:tc>
          <w:tcPr>
            <w:tcW w:w="33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Operating Income (Non-GAAP)</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11,097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5,547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8,178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32,427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9,382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9,382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Operating Income as a % of Net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i/>
          <w:color w:val="000000"/>
          <w:sz w:val="18"/>
        </w:rPr>
      </w:pPr>
      <w:r>
        <w:rPr>
          <w:rFonts w:ascii="Times New Roman" w:hAnsi="Times New Roman"/>
          <w:b/>
          <w:i/>
          <w:color w:val="000000"/>
          <w:sz w:val="18"/>
        </w:rPr>
        <w:t xml:space="preserve">Strattec Transformation Continues to Deliver Strong Cash Generation; Generated $10.8 Million in Cash from Operations </w:t>
        <w:br/>
        <w:t>in First Quarter Fiscal 2027</w:t>
        <w:br/>
        <w:t>October 29, 2026</w:t>
      </w:r>
    </w:p>
    <w:p>
      <w:pPr>
        <w:pStyle w:val="TextBody"/>
        <w:bidi w:val="0"/>
        <w:jc w:val="left"/>
        <w:rPr>
          <w:rFonts w:ascii="Times New Roman" w:hAnsi="Times New Roman"/>
          <w:sz w:val="18"/>
        </w:rPr>
      </w:pPr>
      <w:r>
        <w:rPr>
          <w:rFonts w:ascii="Times New Roman" w:hAnsi="Times New Roman"/>
          <w:b/>
          <w:i/>
          <w:color w:val="000000"/>
          <w:sz w:val="18"/>
        </w:rPr>
        <w:t>Page 9</w:t>
      </w:r>
      <w:r>
        <w:rPr>
          <w:rFonts w:ascii="Times New Roman" w:hAnsi="Times New Roman"/>
          <w:color w:val="000000"/>
          <w:sz w:val="18"/>
        </w:rPr>
        <w:t xml:space="preserve"> </w:t>
      </w:r>
      <w:r>
        <w:rPr>
          <w:rFonts w:ascii="Times New Roman" w:hAnsi="Times New Roman"/>
          <w:b/>
          <w:i/>
          <w:color w:val="000000"/>
          <w:sz w:val="18"/>
        </w:rPr>
        <w:t>of 11</w:t>
      </w:r>
    </w:p>
    <w:p>
      <w:pPr>
        <w:pStyle w:val="TextBody"/>
        <w:bidi w:val="0"/>
        <w:jc w:val="left"/>
        <w:rPr/>
      </w:pPr>
      <w:r>
        <w:rPr/>
        <w:t> </w:t>
      </w:r>
    </w:p>
    <w:tbl>
      <w:tblPr>
        <w:tblW w:w="11678" w:type="dxa"/>
        <w:jc w:val="left"/>
        <w:tblInd w:w="0" w:type="dxa"/>
        <w:tblLayout w:type="fixed"/>
        <w:tblCellMar>
          <w:top w:w="28" w:type="dxa"/>
          <w:left w:w="28" w:type="dxa"/>
          <w:bottom w:w="28" w:type="dxa"/>
          <w:right w:w="28" w:type="dxa"/>
        </w:tblCellMar>
      </w:tblPr>
      <w:tblGrid>
        <w:gridCol w:w="1456"/>
        <w:gridCol w:w="146"/>
        <w:gridCol w:w="211"/>
        <w:gridCol w:w="691"/>
        <w:gridCol w:w="286"/>
        <w:gridCol w:w="211"/>
        <w:gridCol w:w="691"/>
        <w:gridCol w:w="286"/>
        <w:gridCol w:w="211"/>
        <w:gridCol w:w="691"/>
        <w:gridCol w:w="286"/>
        <w:gridCol w:w="211"/>
        <w:gridCol w:w="691"/>
        <w:gridCol w:w="286"/>
        <w:gridCol w:w="211"/>
        <w:gridCol w:w="691"/>
        <w:gridCol w:w="286"/>
        <w:gridCol w:w="146"/>
        <w:gridCol w:w="211"/>
        <w:gridCol w:w="691"/>
        <w:gridCol w:w="286"/>
        <w:gridCol w:w="211"/>
        <w:gridCol w:w="166"/>
        <w:gridCol w:w="146"/>
        <w:gridCol w:w="211"/>
        <w:gridCol w:w="166"/>
        <w:gridCol w:w="146"/>
        <w:gridCol w:w="211"/>
        <w:gridCol w:w="166"/>
        <w:gridCol w:w="146"/>
        <w:gridCol w:w="211"/>
        <w:gridCol w:w="691"/>
        <w:gridCol w:w="33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Strattec Security Corporation</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Reconciliation of GAAP to Non-GAAP Financial Measures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i/>
                <w:color w:val="000000"/>
                <w:sz w:val="20"/>
              </w:rPr>
            </w:pPr>
            <w:r>
              <w:rPr>
                <w:rFonts w:ascii="Arial" w:hAnsi="Arial"/>
                <w:b/>
                <w:i/>
                <w:color w:val="000000"/>
                <w:sz w:val="20"/>
              </w:rPr>
              <w:t>(in thousands, except per share amounts)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Fiscal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Fiscal 2027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Strattec (GAAP)</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8,529</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4,947</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3,240</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3,882</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20,598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4,833</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2,356</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1,699</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1,282</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6,002</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11,339</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1,881</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1,881</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(877</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(885</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(859</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(989</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(989</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from operations</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10,447</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4,862</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5,046</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26,523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6,423</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Non-cash stock-based compensation</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1,125</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3,305</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 and similar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Executive transition costs</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Business transformation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Business development costs</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2,368</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2,368</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 program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5,104</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7,405</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5,067</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6,369</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23,945</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7,069</w:t>
            </w:r>
          </w:p>
        </w:tc>
        <w:tc>
          <w:tcPr>
            <w:tcW w:w="2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7,069</w:t>
            </w:r>
          </w:p>
        </w:tc>
        <w:tc>
          <w:tcPr>
            <w:tcW w:w="33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15,551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12,267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10,113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12,537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50,468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13,492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13,492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as a % of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45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NET INCOME AND EARNINGS/(LOSS)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i/>
          <w:color w:val="000000"/>
          <w:sz w:val="18"/>
        </w:rPr>
      </w:pPr>
      <w:r>
        <w:rPr>
          <w:rFonts w:ascii="Times New Roman" w:hAnsi="Times New Roman"/>
          <w:b/>
          <w:i/>
          <w:color w:val="000000"/>
          <w:sz w:val="18"/>
        </w:rPr>
        <w:t xml:space="preserve">Strattec Transformation Continues to Deliver Strong Cash Generation; Generated $10.8 Million in Cash from Operations </w:t>
        <w:br/>
        <w:t>in First Quarter Fiscal 2027</w:t>
        <w:br/>
        <w:t>October 29, 2026</w:t>
      </w:r>
    </w:p>
    <w:p>
      <w:pPr>
        <w:pStyle w:val="TextBody"/>
        <w:bidi w:val="0"/>
        <w:jc w:val="left"/>
        <w:rPr>
          <w:rFonts w:ascii="Times New Roman" w:hAnsi="Times New Roman"/>
          <w:sz w:val="18"/>
        </w:rPr>
      </w:pPr>
      <w:r>
        <w:rPr>
          <w:rFonts w:ascii="Times New Roman" w:hAnsi="Times New Roman"/>
          <w:b/>
          <w:i/>
          <w:color w:val="000000"/>
          <w:sz w:val="18"/>
        </w:rPr>
        <w:t>Page 10</w:t>
      </w:r>
      <w:r>
        <w:rPr>
          <w:rFonts w:ascii="Times New Roman" w:hAnsi="Times New Roman"/>
          <w:color w:val="000000"/>
          <w:sz w:val="18"/>
        </w:rPr>
        <w:t xml:space="preserve"> </w:t>
      </w:r>
      <w:r>
        <w:rPr>
          <w:rFonts w:ascii="Times New Roman" w:hAnsi="Times New Roman"/>
          <w:b/>
          <w:i/>
          <w:color w:val="000000"/>
          <w:sz w:val="18"/>
        </w:rPr>
        <w:t>of 11</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13"/>
        <w:gridCol w:w="146"/>
        <w:gridCol w:w="211"/>
        <w:gridCol w:w="586"/>
        <w:gridCol w:w="166"/>
        <w:gridCol w:w="211"/>
        <w:gridCol w:w="586"/>
        <w:gridCol w:w="166"/>
        <w:gridCol w:w="211"/>
        <w:gridCol w:w="646"/>
        <w:gridCol w:w="166"/>
        <w:gridCol w:w="211"/>
        <w:gridCol w:w="586"/>
        <w:gridCol w:w="146"/>
        <w:gridCol w:w="211"/>
        <w:gridCol w:w="691"/>
        <w:gridCol w:w="166"/>
        <w:gridCol w:w="146"/>
        <w:gridCol w:w="211"/>
        <w:gridCol w:w="586"/>
        <w:gridCol w:w="166"/>
        <w:gridCol w:w="211"/>
        <w:gridCol w:w="166"/>
        <w:gridCol w:w="146"/>
        <w:gridCol w:w="211"/>
        <w:gridCol w:w="166"/>
        <w:gridCol w:w="146"/>
        <w:gridCol w:w="211"/>
        <w:gridCol w:w="166"/>
        <w:gridCol w:w="146"/>
        <w:gridCol w:w="211"/>
        <w:gridCol w:w="586"/>
        <w:gridCol w:w="211"/>
      </w:tblGrid>
      <w:tr>
        <w:trPr/>
        <w:tc>
          <w:tcPr>
            <w:tcW w:w="1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13"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attributable to Strattec (GAAP)</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8,529</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4,947</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3,240</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3,882</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20,598</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4,833</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4,833</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3"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Restructuring and similar charges</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1,165</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2,356</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Executive transition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3"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Business transformation costs</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960</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1,061</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3,529</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Business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3"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 program settlements</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Non-controlling interest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413"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effect on above adjustments and other discrete tax items</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2,388</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1,531</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w:t>
            </w:r>
          </w:p>
        </w:tc>
        <w:tc>
          <w:tcPr>
            <w:tcW w:w="211" w:type="dxa"/>
            <w:tcBorders>
              <w:bottom w:val="single" w:sz="4"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13"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Net Income attributable to Strattec (Non-GAAP)</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9,170</w:t>
            </w:r>
          </w:p>
        </w:tc>
        <w:tc>
          <w:tcPr>
            <w:tcW w:w="16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7,049</w:t>
            </w:r>
          </w:p>
        </w:tc>
        <w:tc>
          <w:tcPr>
            <w:tcW w:w="16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3,724</w:t>
            </w:r>
          </w:p>
        </w:tc>
        <w:tc>
          <w:tcPr>
            <w:tcW w:w="16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8,411</w:t>
            </w:r>
          </w:p>
        </w:tc>
        <w:tc>
          <w:tcPr>
            <w:tcW w:w="14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28,354</w:t>
            </w:r>
          </w:p>
        </w:tc>
        <w:tc>
          <w:tcPr>
            <w:tcW w:w="16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7,501</w:t>
            </w:r>
          </w:p>
        </w:tc>
        <w:tc>
          <w:tcPr>
            <w:tcW w:w="16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7,501</w:t>
            </w:r>
          </w:p>
        </w:tc>
        <w:tc>
          <w:tcPr>
            <w:tcW w:w="211" w:type="dxa"/>
            <w:tcBorders>
              <w:bottom w:val="double" w:sz="6" w:space="0" w:color="000000"/>
            </w:tcBorders>
            <w:shd w:fill="D9EAF7" w:val="clear"/>
            <w:tcMar>
              <w:top w:w="0" w:type="dxa"/>
              <w:left w:w="0" w:type="dxa"/>
              <w:right w:w="0" w:type="dxa"/>
            </w:tcMar>
            <w:vAlign w:val="center"/>
          </w:tcPr>
          <w:p>
            <w:pPr>
              <w:pStyle w:val="TableContents"/>
              <w:bidi w:val="0"/>
              <w:spacing w:before="0" w:after="283"/>
              <w:jc w:val="left"/>
              <w:rPr/>
            </w:pPr>
            <w:r>
              <w:rPr/>
              <w:t> </w:t>
            </w:r>
          </w:p>
        </w:tc>
      </w:tr>
      <w:tr>
        <w:trPr/>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3"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Basic Shares Outstanding</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4,054</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4,080</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4,085</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4,035</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4,064</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3,970</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3,970</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Diluted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3"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earnings per share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3"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diluted earnings per share (Non-GAAP)</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0.90</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6.88</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D9EAF7"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w:t>
            </w:r>
          </w:p>
        </w:tc>
        <w:tc>
          <w:tcPr>
            <w:tcW w:w="211" w:type="dxa"/>
            <w:tcBorders/>
            <w:shd w:fill="D9EA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ova Light">
    <w:altName w:val="sans-serif"/>
    <w:charset w:val="01"/>
    <w:family w:val="auto"/>
    <w:pitch w:val="default"/>
  </w:font>
  <w:font w:name="Arial">
    <w:charset w:val="01"/>
    <w:family w:val="auto"/>
    <w:pitch w:val="default"/>
  </w:font>
  <w:font w:name="Robo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4446</Words>
  <Characters>23082</Characters>
  <CharactersWithSpaces>28464</CharactersWithSpaces>
  <Paragraphs>3660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