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2" w:lineRule="exact"/>
        <w:rPr>
          <w:sz w:val="24"/>
          <w:szCs w:val="24"/>
          <w:color w:val="auto"/>
        </w:rPr>
      </w:pPr>
    </w:p>
    <w:p>
      <w:pPr>
        <w:ind w:left="520" w:right="500" w:hanging="512"/>
        <w:spacing w:after="0" w:line="262"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7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48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8"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520"/>
          </w:cols>
          <w:pgMar w:left="240" w:top="362" w:right="139" w:bottom="1440" w:gutter="0" w:footer="0" w:header="0"/>
        </w:sectPr>
      </w:pPr>
    </w:p>
    <w:p>
      <w:pPr>
        <w:spacing w:after="0" w:line="20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39-1804239</w:t>
      </w:r>
    </w:p>
    <w:p>
      <w:pPr>
        <w:spacing w:after="0" w:line="31" w:lineRule="exact"/>
        <w:rPr>
          <w:sz w:val="24"/>
          <w:szCs w:val="24"/>
          <w:color w:val="auto"/>
        </w:rPr>
      </w:pPr>
    </w:p>
    <w:p>
      <w:pPr>
        <w:sectPr>
          <w:pgSz w:w="11900" w:h="16838" w:orient="portrait"/>
          <w:cols w:equalWidth="0" w:num="2">
            <w:col w:w="7460" w:space="720"/>
            <w:col w:w="3340"/>
          </w:cols>
          <w:pgMar w:left="240" w:top="362" w:right="1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73" w:lineRule="exact"/>
        <w:rPr>
          <w:sz w:val="24"/>
          <w:szCs w:val="24"/>
          <w:color w:val="auto"/>
        </w:rPr>
      </w:pPr>
    </w:p>
    <w:p>
      <w:pPr>
        <w:sectPr>
          <w:pgSz w:w="11900" w:h="16838" w:orient="portrait"/>
          <w:cols w:equalWidth="0" w:num="2">
            <w:col w:w="6800" w:space="720"/>
            <w:col w:w="4000"/>
          </w:cols>
          <w:pgMar w:left="240" w:top="362" w:right="1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3333 West Good Hope Road, Milwaukee, WI 53209</w:t>
      </w:r>
    </w:p>
    <w:p>
      <w:pPr>
        <w:spacing w:after="0" w:line="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8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(414) 247-3333</w:t>
      </w:r>
    </w:p>
    <w:p>
      <w:pPr>
        <w:spacing w:after="0" w:line="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520"/>
          </w:cols>
          <w:pgMar w:left="240" w:top="362" w:right="139" w:bottom="1440" w:gutter="0" w:footer="0" w:header="0"/>
          <w:type w:val="continuous"/>
        </w:sectPr>
      </w:pPr>
    </w:p>
    <w:p>
      <w:pPr>
        <w:spacing w:after="0" w:line="206" w:lineRule="exact"/>
        <w:rPr>
          <w:sz w:val="24"/>
          <w:szCs w:val="24"/>
          <w:color w:val="auto"/>
        </w:rPr>
      </w:pPr>
    </w:p>
    <w:p>
      <w:pPr>
        <w:ind w:right="3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7" w:lineRule="exact"/>
        <w:rPr>
          <w:sz w:val="24"/>
          <w:szCs w:val="24"/>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9" w:lineRule="exact"/>
        <w:rPr>
          <w:sz w:val="24"/>
          <w:szCs w:val="24"/>
          <w:color w:val="auto"/>
        </w:rPr>
      </w:pPr>
    </w:p>
    <w:p>
      <w:pPr>
        <w:ind w:right="26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132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1" w:lineRule="exact"/>
        <w:rPr>
          <w:sz w:val="24"/>
          <w:szCs w:val="24"/>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3,755,022 shares outstanding as of April 1, 2019 (which number includes all restricted shares previously awarded that have not vested as of such date).</w:t>
      </w:r>
    </w:p>
    <w:p>
      <w:pPr>
        <w:spacing w:after="0" w:line="1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00" w:type="dxa"/>
            <w:vAlign w:val="bottom"/>
          </w:tcPr>
          <w:p>
            <w:pPr>
              <w:spacing w:after="0"/>
              <w:rPr>
                <w:sz w:val="20"/>
                <w:szCs w:val="20"/>
                <w:color w:val="auto"/>
              </w:rPr>
            </w:pPr>
          </w:p>
        </w:tc>
        <w:tc>
          <w:tcPr>
            <w:tcW w:w="5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7"/>
        </w:trPr>
        <w:tc>
          <w:tcPr>
            <w:tcW w:w="100" w:type="dxa"/>
            <w:vAlign w:val="bottom"/>
          </w:tcPr>
          <w:p>
            <w:pPr>
              <w:spacing w:after="0"/>
              <w:rPr>
                <w:sz w:val="20"/>
                <w:szCs w:val="20"/>
                <w:color w:val="auto"/>
              </w:rPr>
            </w:pPr>
          </w:p>
        </w:tc>
        <w:tc>
          <w:tcPr>
            <w:tcW w:w="3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Common stock, $.01 par value</w:t>
            </w: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STRT</w:t>
            </w:r>
          </w:p>
        </w:tc>
        <w:tc>
          <w:tcPr>
            <w:tcW w:w="5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r>
        <w:trPr>
          <w:trHeight w:val="149"/>
        </w:trPr>
        <w:tc>
          <w:tcPr>
            <w:tcW w:w="10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34"/>
        </w:trPr>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784"/>
        </w:trPr>
        <w:tc>
          <w:tcPr>
            <w:tcW w:w="1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520"/>
          </w:cols>
          <w:pgMar w:left="240" w:top="362" w:right="1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STRATTEC SECURITY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2019</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800" w:type="dxa"/>
            <w:vAlign w:val="bottom"/>
            <w:gridSpan w:val="17"/>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8580" w:type="dxa"/>
            <w:vAlign w:val="bottom"/>
            <w:gridSpan w:val="11"/>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8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 (Loss) and Comprehensive Income</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9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c>
          <w:tcPr>
            <w:tcW w:w="412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80" w:type="dxa"/>
            <w:vAlign w:val="bottom"/>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80" w:type="dxa"/>
            <w:vAlign w:val="bottom"/>
            <w:gridSpan w:val="1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6"/>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Controls and Procedures</w:t>
              </w:r>
            </w:hyperlink>
          </w:p>
        </w:tc>
        <w:tc>
          <w:tcPr>
            <w:tcW w:w="830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34"/>
        </w:trPr>
        <w:tc>
          <w:tcPr>
            <w:tcW w:w="10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6"/>
          </w:tcPr>
          <w:p>
            <w:pPr>
              <w:spacing w:after="0" w:line="194"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17"/>
                <w:szCs w:val="17"/>
                <w:color w:val="auto"/>
              </w:rPr>
            </w:pPr>
          </w:p>
        </w:tc>
        <w:tc>
          <w:tcPr>
            <w:tcW w:w="876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Unregistered Sales of Equity Securities and Use of Proceeds</w:t>
              </w:r>
            </w:hyperlink>
          </w:p>
        </w:tc>
        <w:tc>
          <w:tcPr>
            <w:tcW w:w="574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Defaults Upon Senior Securities</w:t>
              </w:r>
            </w:hyperlink>
          </w:p>
        </w:tc>
        <w:tc>
          <w:tcPr>
            <w:tcW w:w="776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Mine Safety Disclosures</w:t>
              </w:r>
            </w:hyperlink>
          </w:p>
        </w:tc>
        <w:tc>
          <w:tcPr>
            <w:tcW w:w="832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16"/>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Other Information</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17"/>
                <w:szCs w:val="17"/>
                <w:color w:val="auto"/>
              </w:rPr>
            </w:pPr>
          </w:p>
        </w:tc>
        <w:tc>
          <w:tcPr>
            <w:tcW w:w="878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INFORMATION</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 number of the matters and subject areas discussed in this Form 10-Q contain “forward-looking statements” within the meaning of the Private Securities Litigation Reform Act of 1995. These statements may be identified by the use of forward-looking words or phrases such as “anticipate,” “believe,” “would,” “expect,” “intend,” “may,” “planned,” “potential,” “should,” “will,” and “could,” or the negative of these terms or words of similar meaning. These include statements regarding expected future financial results, product offerings, global expansion, liquidity needs, financing ability, planned capital expenditures, management’s or the Company’s expectations and beliefs, and similar matters discussed in this Form 10-Q. The discussion of such matters and subject areas contained herein is qualified by the inherent risks and uncertainties surrounding future expectations generally, and also may materially differ from the Company’s actual future experience.</w:t>
      </w:r>
    </w:p>
    <w:p>
      <w:pPr>
        <w:spacing w:after="0" w:line="189" w:lineRule="exact"/>
        <w:rPr>
          <w:sz w:val="20"/>
          <w:szCs w:val="20"/>
          <w:color w:val="auto"/>
        </w:rPr>
      </w:pPr>
    </w:p>
    <w:p>
      <w:pPr>
        <w:ind w:right="100" w:firstLine="571"/>
        <w:spacing w:after="0" w:line="255" w:lineRule="auto"/>
        <w:rPr>
          <w:sz w:val="20"/>
          <w:szCs w:val="20"/>
          <w:color w:val="auto"/>
        </w:rPr>
      </w:pPr>
      <w:r>
        <w:rPr>
          <w:rFonts w:ascii="Times New Roman" w:cs="Times New Roman" w:eastAsia="Times New Roman" w:hAnsi="Times New Roman"/>
          <w:sz w:val="18"/>
          <w:szCs w:val="18"/>
          <w:color w:val="auto"/>
        </w:rPr>
        <w:t>The Company’s business, operations and financial performance are subject to certain risks and uncertainties, which could result in material differences in actual results from the Company’s current expectations. These risks and uncertainties include, but are not limited to, general economic conditions, in particular relating to the automotive industry, consumer demand for the Company’s and its customers’ products, competitive and technological developments, customer purchasing actions, changes in warranty provisions and customers’ product recall policies, foreign currency fluctuations, uncertainties stemming from U.S. trade policies, tariffs and reactions to same from foreign countries, costs of operations, the volume and scope of product returns and warranty claims and other matters described in the section titled “Risk Factors” in the Company’s Form 10-K report filed on September 6, 2018 with the Securities and Exchange Commission for the year ended July 1, 2018.</w:t>
      </w:r>
    </w:p>
    <w:p>
      <w:pPr>
        <w:spacing w:after="0" w:line="189" w:lineRule="exact"/>
        <w:rPr>
          <w:sz w:val="20"/>
          <w:szCs w:val="20"/>
          <w:color w:val="auto"/>
        </w:rPr>
      </w:pPr>
    </w:p>
    <w:p>
      <w:pPr>
        <w:ind w:right="160" w:firstLine="571"/>
        <w:spacing w:after="0" w:line="261" w:lineRule="auto"/>
        <w:rPr>
          <w:sz w:val="20"/>
          <w:szCs w:val="20"/>
          <w:color w:val="auto"/>
        </w:rPr>
      </w:pPr>
      <w:r>
        <w:rPr>
          <w:rFonts w:ascii="Times New Roman" w:cs="Times New Roman" w:eastAsia="Times New Roman" w:hAnsi="Times New Roman"/>
          <w:sz w:val="18"/>
          <w:szCs w:val="18"/>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10-Q and the Company undertakes no obligation to publicly update such forward-looking statements to reflect subsequent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7" w:lineRule="exact"/>
        <w:rPr>
          <w:sz w:val="20"/>
          <w:szCs w:val="20"/>
          <w:color w:val="auto"/>
        </w:rPr>
      </w:pPr>
    </w:p>
    <w:p>
      <w:pPr>
        <w:jc w:val="center"/>
        <w:ind w:left="280" w:right="2680"/>
        <w:spacing w:after="0" w:line="255" w:lineRule="auto"/>
        <w:rPr>
          <w:sz w:val="20"/>
          <w:szCs w:val="20"/>
          <w:color w:val="auto"/>
        </w:rPr>
      </w:pPr>
      <w:r>
        <w:rPr>
          <w:rFonts w:ascii="Times New Roman" w:cs="Times New Roman" w:eastAsia="Times New Roman" w:hAnsi="Times New Roman"/>
          <w:sz w:val="18"/>
          <w:szCs w:val="18"/>
          <w:color w:val="auto"/>
        </w:rPr>
        <w:t>STRATTEC SECURITY CORPORATION AND SUBSIDIARIES Condensed Consolidated Statements of Income (Loss) and Comprehensive Income (In Thousands, Except Per Share Amounts)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91"/>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91"/>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780" w:type="dxa"/>
            <w:vAlign w:val="bottom"/>
            <w:vMerge w:val="continue"/>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314,701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selling and administrative expenses</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Equity earnings of joint ventures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Pension Termination Settlement Charge</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78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Income (loss) before provision (benefit) for income taxes and</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STRATTEC SECURITY</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CORPORATION</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Pr>
          <w:p>
            <w:pPr>
              <w:spacing w:after="0"/>
              <w:rPr>
                <w:sz w:val="20"/>
                <w:szCs w:val="20"/>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20"/>
                <w:szCs w:val="20"/>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(16,967)</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40" w:type="dxa"/>
            <w:vAlign w:val="bottom"/>
          </w:tcPr>
          <w:p>
            <w:pPr>
              <w:spacing w:after="0"/>
              <w:rPr>
                <w:sz w:val="19"/>
                <w:szCs w:val="19"/>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9"/>
                <w:szCs w:val="19"/>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(14,132)</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plans, net of tax</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income attributable to non-</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controlling interest</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 to STRATTEC</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 CORPORATION</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Pr>
          <w:p>
            <w:pPr>
              <w:spacing w:after="0"/>
              <w:rPr>
                <w:sz w:val="20"/>
                <w:szCs w:val="20"/>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20" w:type="dxa"/>
            <w:vAlign w:val="bottom"/>
          </w:tcPr>
          <w:p>
            <w:pPr>
              <w:spacing w:after="0"/>
              <w:rPr>
                <w:sz w:val="20"/>
                <w:szCs w:val="20"/>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40" w:type="dxa"/>
            <w:vAlign w:val="bottom"/>
          </w:tcPr>
          <w:p>
            <w:pPr>
              <w:spacing w:after="0"/>
              <w:rPr>
                <w:sz w:val="20"/>
                <w:szCs w:val="20"/>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attributable to STRATTEC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 CORPORATION:</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20"/>
                <w:szCs w:val="20"/>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20"/>
                <w:szCs w:val="20"/>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tcBorders>
            <w:gridSpan w:val="2"/>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24"/>
                <w:szCs w:val="24"/>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4"/>
                <w:szCs w:val="24"/>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24"/>
                <w:szCs w:val="24"/>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Income (Loss) and Comprehensive Income.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73"/>
        </w:trPr>
        <w:tc>
          <w:tcPr>
            <w:tcW w:w="7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5"/>
                <w:szCs w:val="15"/>
                <w:color w:val="auto"/>
              </w:rPr>
            </w:pPr>
          </w:p>
        </w:tc>
        <w:tc>
          <w:tcPr>
            <w:tcW w:w="13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300" w:type="dxa"/>
            <w:vAlign w:val="bottom"/>
          </w:tcPr>
          <w:p>
            <w:pPr>
              <w:spacing w:after="0"/>
              <w:rPr>
                <w:sz w:val="19"/>
                <w:szCs w:val="19"/>
                <w:color w:val="auto"/>
              </w:rPr>
            </w:pP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Purchased materials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Excess and obsolete reserve</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8"/>
        </w:trPr>
        <w:tc>
          <w:tcPr>
            <w:tcW w:w="7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(164,819)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(153,174)</w:t>
            </w:r>
          </w:p>
        </w:tc>
        <w:tc>
          <w:tcPr>
            <w:tcW w:w="0" w:type="dxa"/>
            <w:vAlign w:val="bottom"/>
          </w:tcPr>
          <w:p>
            <w:pPr>
              <w:spacing w:after="0"/>
              <w:rPr>
                <w:sz w:val="1"/>
                <w:szCs w:val="1"/>
                <w:color w:val="auto"/>
              </w:rPr>
            </w:pPr>
          </w:p>
        </w:tc>
      </w:tr>
      <w:tr>
        <w:trPr>
          <w:trHeight w:val="223"/>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300" w:type="dxa"/>
            <w:vAlign w:val="bottom"/>
          </w:tcPr>
          <w:p>
            <w:pPr>
              <w:spacing w:after="0"/>
              <w:rPr>
                <w:sz w:val="19"/>
                <w:szCs w:val="19"/>
                <w:color w:val="auto"/>
              </w:rPr>
            </w:pP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Payroll and benefits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Environmental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pension obligations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postretirement obligations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authorized 12,000,000 shares, $.01 par value, 7,304,994</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shares at March 31, 2019 and 7,251,937 issued shares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1, 2018</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(17,737)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0" w:type="dxa"/>
            <w:vAlign w:val="bottom"/>
          </w:tcPr>
          <w:p>
            <w:pPr>
              <w:spacing w:after="0"/>
              <w:rPr>
                <w:sz w:val="1"/>
                <w:szCs w:val="1"/>
                <w:color w:val="auto"/>
              </w:rPr>
            </w:pPr>
          </w:p>
        </w:tc>
      </w:tr>
      <w:tr>
        <w:trPr>
          <w:trHeight w:val="216"/>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treasury stock, at cost (3,614,479 shares at March 31, 2019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3,616,734 shares at July 1,2018)</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(135,742)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(135,778)</w:t>
            </w:r>
          </w:p>
        </w:tc>
        <w:tc>
          <w:tcPr>
            <w:tcW w:w="0" w:type="dxa"/>
            <w:vAlign w:val="bottom"/>
          </w:tcPr>
          <w:p>
            <w:pPr>
              <w:spacing w:after="0"/>
              <w:rPr>
                <w:sz w:val="1"/>
                <w:szCs w:val="1"/>
                <w:color w:val="auto"/>
              </w:rPr>
            </w:pPr>
          </w:p>
        </w:tc>
      </w:tr>
      <w:tr>
        <w:trPr>
          <w:trHeight w:val="218"/>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STRATTEC SECURITY CORPORATION shareholders’ equity</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313,284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Balance Sheets.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jc w:val="right"/>
              <w:ind w:right="471"/>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8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(14,132)</w:t>
            </w:r>
          </w:p>
        </w:tc>
        <w:tc>
          <w:tcPr>
            <w:tcW w:w="62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Unrealized (gain) loss on peso forward contracts</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 earnings of joint ventures</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Pension Termination Settlement Charge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0" w:type="dxa"/>
            <w:vAlign w:val="bottom"/>
          </w:tcPr>
          <w:p>
            <w:pPr>
              <w:spacing w:after="0"/>
              <w:rPr>
                <w:sz w:val="1"/>
                <w:szCs w:val="1"/>
                <w:color w:val="auto"/>
              </w:rPr>
            </w:pPr>
          </w:p>
        </w:tc>
      </w:tr>
      <w:tr>
        <w:trPr>
          <w:trHeight w:val="230"/>
        </w:trPr>
        <w:tc>
          <w:tcPr>
            <w:tcW w:w="7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8"/>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from loan to joint ventures</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0" w:type="dxa"/>
            <w:vAlign w:val="bottom"/>
          </w:tcPr>
          <w:p>
            <w:pPr>
              <w:spacing w:after="0"/>
              <w:rPr>
                <w:sz w:val="1"/>
                <w:szCs w:val="1"/>
                <w:color w:val="auto"/>
              </w:rPr>
            </w:pPr>
          </w:p>
        </w:tc>
      </w:tr>
      <w:tr>
        <w:trPr>
          <w:trHeight w:val="234"/>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received on sale of property, plant, and equipment</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borrowings under credit facility</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paid to non-controlling interests of subsidiaries</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34"/>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stock options and employee stock purchases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2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9"/>
                <w:szCs w:val="19"/>
                <w:color w:val="auto"/>
              </w:rPr>
            </w:pPr>
          </w:p>
        </w:tc>
        <w:tc>
          <w:tcPr>
            <w:tcW w:w="62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tcPr>
          <w:p>
            <w:pPr>
              <w:spacing w:after="0"/>
              <w:rPr>
                <w:sz w:val="19"/>
                <w:szCs w:val="19"/>
                <w:color w:val="auto"/>
              </w:rPr>
            </w:pPr>
          </w:p>
        </w:tc>
        <w:tc>
          <w:tcPr>
            <w:tcW w:w="62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62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Cash Flows.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w:t>
      </w:r>
    </w:p>
    <w:p>
      <w:pPr>
        <w:spacing w:after="0" w:line="121" w:lineRule="exact"/>
        <w:rPr>
          <w:sz w:val="20"/>
          <w:szCs w:val="20"/>
          <w:color w:val="auto"/>
        </w:rPr>
      </w:pPr>
    </w:p>
    <w:p>
      <w:pPr>
        <w:ind w:right="120" w:firstLine="571"/>
        <w:spacing w:after="0" w:line="254" w:lineRule="auto"/>
        <w:rPr>
          <w:sz w:val="20"/>
          <w:szCs w:val="20"/>
          <w:color w:val="auto"/>
        </w:rPr>
      </w:pPr>
      <w:r>
        <w:rPr>
          <w:rFonts w:ascii="Times New Roman" w:cs="Times New Roman" w:eastAsia="Times New Roman" w:hAnsi="Times New Roman"/>
          <w:sz w:val="18"/>
          <w:szCs w:val="18"/>
          <w:color w:val="auto"/>
        </w:rPr>
        <w:t>STRATTEC SECURITY CORPORATION designs, develops, manufactures and markets automotive access control products including mechanical locks and keys, electronically enhanced locks and keys, steering column and instrument panel ignition lock housings, latches, power sliding door systems, power lift gate systems, power deck lid systems, door handles and related products for primarily North American automotive customers. We also supply global automotive manufacturers through a unique strategic relationship with WITTE Automotive (“WITTE”) of Velbert, Germany, and ADAC Automotive (“ADAC”) of Grand Rapids, Michigan. Under this relationship, STRATTEC, WITTE and ADAC market the products of each company to global customers under the “VAST Automotive Group” brand name (as more fully described herein). STRATTEC products are shipped to customer locations in the United States, Canada, Mexico, Europe, South America, Korea, China and India, and we provide full service and aftermarket support for each VAST Automotive Group partner’s products. We also maintain a 51 percent interest in a joint venture, STRATTEC Advanced Logic, LLC (“SAL LLC”), which exists to introduce a new generation of biometric security products based on the designs of Actuator Systems, our partner and the owner of the remaining ownership interest. The business of SAL LLC has been wound down to sell only commercial biometric locks.</w:t>
      </w:r>
    </w:p>
    <w:p>
      <w:pPr>
        <w:spacing w:after="0" w:line="186"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consolidated results of STRATTEC SECURITY CORPORATION, its wholly owned Mexican subsidiary, STRATTEC de Mexico, and its majority owned subsidiaries, ADAC-STRATTEC, LLC and STRATTEC POWER ACCESS LLC. STRATTEC SECURITY CORPORATION is located in Milwaukee, Wisconsin. STRATTEC de Mexico is located in Juarez, Mexico. ADAC-STRATTEC, LLC and STRATTEC POWER ACCESS LLC have operations in El Paso, Texas and Juarez and Leon, Mexico. Equity investments in Vehicle Access Systems Technology LLC (“VAST LLC”) and SAL LLC, for which we exercise significant influence but do not control and are not the primary beneficiary, are accounted for using the equity method. VAST LLC consists primarily of four wholly owned subsidiaries in China, one wholly owned subsidiary in Brazil and one joint venture entity in India. The results of the VAST LLC foreign subsidiaries and joint venture are reported on a one-month lag basis. SAL LLC is located in El Paso, Texas. We have only one reporting segment.</w:t>
      </w:r>
    </w:p>
    <w:p>
      <w:pPr>
        <w:spacing w:after="0" w:line="185"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balance sheets as of March 31, 2019 and July 1, 2018, which have been derived from our audited financial statements, and the related unaudited interim condensed consolidated financial statements included herein contain all adjustments, consisting only of normal recurring items, necessary for their fair presentation in conformity with accounting principles generally accepted in the United States of America (“U.S. GAAP”) and in accordance with Rule 10-01 of Regulation S-X. All significant intercompany transactions have been eliminated.</w:t>
      </w:r>
    </w:p>
    <w:p>
      <w:pPr>
        <w:spacing w:after="0" w:line="184" w:lineRule="exact"/>
        <w:rPr>
          <w:sz w:val="20"/>
          <w:szCs w:val="20"/>
          <w:color w:val="auto"/>
        </w:rPr>
      </w:pPr>
    </w:p>
    <w:p>
      <w:pPr>
        <w:jc w:val="both"/>
        <w:ind w:right="240" w:firstLine="571"/>
        <w:spacing w:after="0" w:line="266"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operating results for an entire year. The information included in this Form 10-Q should be read in conjunction with the financial statements and notes thereto included in the STRATTEC SECURITY CORPORATION 2018 Annual Report, which was filed with the Securities and Exchange Commission as an exhibit to our Form 10-K on September 6, 2018.</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In May 2014, the FASB issued an update to the accounting guidance for the recognition of revenue arising from contracts with customers. The update supersedes most current revenue recognition guidance and outlines a single comprehensive model for revenue recognition based on the principle that an entity should recognize revenue in an amount that reflects the expected consideration to be received in the exchange of goods and services. The guidance update also requires additional disclosure about the nature, amount, timing and uncertainty of revenue and cash flows arising from customer contracts. We implemented the new standard effective July 2, 2018, the first day of our 2019 fiscal year, using the modified retrospective approach to transition to the new standard. We assessed our revenue stream based upon the provisions of our customer contracts in effect on the July 2, 2018 effective date to determine the cumulative effect of initially applying the guidance. Based on our assessment, the adoption date financial statement impact was limited to a balance sheet reclassification required to establish the contract liability concept provided for in the guidance. As such, comparative financial information for reporting periods prior to July 2, 2018 has not been restated and continues to be reported in accordance with our revenue recognition policies prior to the adoption of the new guidance. Additionally, there was no cumulative effect adjustment required to be recorded to our retained earnings. The effect of the reclassification changes made to our July 2, 2018 Condensed Consolidated Balance Sheet increased Receivables, net by $1.2 million, with a corresponding increase to Accrued Liabilities: Other. Refer to the discussion of Revenue from Contracts with Customers included in these Notes to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an update to the accounting guidance for leases. The update increases the transparency and comparability among organizations by requiring lessees to recognize lease assets and lease liabilities on the balance sheet and to disclose key information about leasing arrangements. The guidance is effective for fiscal years beginning after December 15, 2018 and interim periods within those years. We do not expect that the adoption of this pronouncement will have a material impact on our consolidated financial statements.</w:t>
      </w:r>
    </w:p>
    <w:p>
      <w:pPr>
        <w:spacing w:after="0" w:line="180" w:lineRule="exact"/>
        <w:rPr>
          <w:sz w:val="20"/>
          <w:szCs w:val="20"/>
          <w:color w:val="auto"/>
        </w:rPr>
      </w:pPr>
    </w:p>
    <w:p>
      <w:pPr>
        <w:ind w:right="160" w:firstLine="571"/>
        <w:spacing w:after="0" w:line="261" w:lineRule="auto"/>
        <w:rPr>
          <w:sz w:val="20"/>
          <w:szCs w:val="20"/>
          <w:color w:val="auto"/>
        </w:rPr>
      </w:pPr>
      <w:r>
        <w:rPr>
          <w:rFonts w:ascii="Times New Roman" w:cs="Times New Roman" w:eastAsia="Times New Roman" w:hAnsi="Times New Roman"/>
          <w:sz w:val="18"/>
          <w:szCs w:val="18"/>
          <w:color w:val="auto"/>
        </w:rPr>
        <w:t>In August 2016, the FASB issued an update to the accounting guidance on the classification of certain cash receipts and cash payments. The update aims to eliminate diversity in practice in how certain cash receipts and cash payments are presented and classified in the statement of cash flows. The guidance is effective for fiscal years beginning after December 15, 2017 and interim periods within those years. The adoption of this pronouncement did not have a material impact on our consolidated financial statements.</w:t>
      </w:r>
    </w:p>
    <w:p>
      <w:pPr>
        <w:spacing w:after="0" w:line="180"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In February 2018, the FASB issued guidance on the reclassification of certain tax effects from accumulated other comprehensive income. The guidance permits entities to reclassify tax effects stranded in accumulated other comprehensive income as a result of U.S. tax reform to retained earnings. The guidance is effective for fiscal years beginning after December 15, 2018, and interim periods within those fiscal years. We elected early adoption beginning effective December 30, 2018. The adoption of the guidance resulted in the reclassification of $4.0 million from accumulated other comprehensive income to retained earnings during the quarter ended December 30, 2018.</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We own and operate manufacturing operations in Mexico. As a result, a portion of our manufacturing costs are incurred in Mexican pesos, which causes our earnings and cash flows to fluctuate due to changes in the U.S. dollar/Mexican peso exchange rate. During the three and nine month periods ended March 31, 2019 and April 1, 2018, we had contracts with Bank of Montreal that provided for monthly Mexican peso currency forward contracts for a portion of our estimated peso denominated operating costs. Our objective in entering into these currency forward contracts is to minimize our earnings volatility resulting from changes in exchange rates affecting the U.S. dollar cost of our Mexican operations. The Mexican peso forward contracts are not used for speculative purposes and are not designated as hedges. As a result, all currency forward contracts are recognized in our accompanying condensed consolidated financial statements at fair value and changes in the fair value are reported in current earnings as part of Other Income (Expense), net.</w:t>
      </w:r>
    </w:p>
    <w:p>
      <w:pPr>
        <w:spacing w:after="0" w:line="189" w:lineRule="exact"/>
        <w:rPr>
          <w:sz w:val="20"/>
          <w:szCs w:val="20"/>
          <w:color w:val="auto"/>
        </w:rPr>
      </w:pPr>
    </w:p>
    <w:p>
      <w:pPr>
        <w:ind w:right="240" w:firstLine="571"/>
        <w:spacing w:after="0" w:line="261" w:lineRule="auto"/>
        <w:rPr>
          <w:sz w:val="20"/>
          <w:szCs w:val="20"/>
          <w:color w:val="auto"/>
        </w:rPr>
      </w:pPr>
      <w:r>
        <w:rPr>
          <w:rFonts w:ascii="Times New Roman" w:cs="Times New Roman" w:eastAsia="Times New Roman" w:hAnsi="Times New Roman"/>
          <w:sz w:val="18"/>
          <w:szCs w:val="18"/>
          <w:color w:val="auto"/>
        </w:rPr>
        <w:t>The following table quantifies the outstanding Mexican peso forward contracts as of March 31, 2019 (thousands of dollars, except average forward contractual exchange rates):</w:t>
      </w:r>
    </w:p>
    <w:tbl>
      <w:tblPr>
        <w:tblLayout w:type="fixed"/>
        <w:tblInd w:w="4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Forward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2100" w:type="dxa"/>
            <w:vAlign w:val="bottom"/>
          </w:tcPr>
          <w:p>
            <w:pPr>
              <w:spacing w:after="0"/>
              <w:rPr>
                <w:sz w:val="20"/>
                <w:szCs w:val="20"/>
                <w:color w:val="auto"/>
              </w:rPr>
            </w:pPr>
          </w:p>
        </w:tc>
        <w:tc>
          <w:tcPr>
            <w:tcW w:w="40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Effective Dates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60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15, 2019 - June 13, 2019</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3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93" w:lineRule="exact"/>
        <w:rPr>
          <w:sz w:val="20"/>
          <w:szCs w:val="20"/>
          <w:color w:val="auto"/>
        </w:rPr>
      </w:pPr>
    </w:p>
    <w:p>
      <w:pPr>
        <w:ind w:right="580" w:firstLine="571"/>
        <w:spacing w:after="0" w:line="282" w:lineRule="auto"/>
        <w:rPr>
          <w:sz w:val="20"/>
          <w:szCs w:val="20"/>
          <w:color w:val="auto"/>
        </w:rPr>
      </w:pPr>
      <w:r>
        <w:rPr>
          <w:rFonts w:ascii="Times New Roman" w:cs="Times New Roman" w:eastAsia="Times New Roman" w:hAnsi="Times New Roman"/>
          <w:sz w:val="18"/>
          <w:szCs w:val="18"/>
          <w:color w:val="auto"/>
        </w:rPr>
        <w:t>The fair market value of all outstanding Mexican peso forward contracts in the accompanying Condensed Consolidated Balance Sheets was as follows (thousands of dollars):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73"/>
        </w:trPr>
        <w:tc>
          <w:tcPr>
            <w:tcW w:w="4180" w:type="dxa"/>
            <w:vAlign w:val="bottom"/>
            <w:vMerge w:val="restart"/>
          </w:tcPr>
          <w:p>
            <w:pPr>
              <w:jc w:val="center"/>
              <w:ind w:right="1150"/>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Other Current Assets (Liabilities):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Mexican Peso Forward Contracts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The pre-tax effects of the Mexican peso forward contracts are included in Other Income (Expense), net on the accompanying Condensed Consolidated Statements of Income (Loss) and Comprehensive Income and consisted of the following (thousands of dollars):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5"/>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3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1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1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Realized Gain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344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Unrealized Gain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797"/>
        </w:trPr>
        <w:tc>
          <w:tcPr>
            <w:tcW w:w="4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60" w:firstLine="571"/>
        <w:spacing w:after="0" w:line="266" w:lineRule="auto"/>
        <w:rPr>
          <w:sz w:val="20"/>
          <w:szCs w:val="20"/>
          <w:color w:val="auto"/>
        </w:rPr>
      </w:pPr>
      <w:r>
        <w:rPr>
          <w:rFonts w:ascii="Times New Roman" w:cs="Times New Roman" w:eastAsia="Times New Roman" w:hAnsi="Times New Roman"/>
          <w:sz w:val="18"/>
          <w:szCs w:val="18"/>
          <w:color w:val="auto"/>
        </w:rPr>
        <w:t>The fair value of our cash and cash equivalents, accounts receivable, accounts payable and borrowings under our credit facility approximated book value as of March 31, 2019 and July 1, 2018. Fair value is defined as the exchange price that would be received for an asset or paid for a liability (an exit price) in the principal or most advantageous market in an orderly transaction between market participants on the measurement date.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financial assets and liabilities measured at fair value on a recurring basis as of March 31, 2019 (in thousands):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Inputs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Level 2 Assets: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Level 1 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 Assets: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 Other</w:t>
            </w:r>
          </w:p>
        </w:tc>
        <w:tc>
          <w:tcPr>
            <w:tcW w:w="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Than Market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62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In Active Markets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8"/>
        </w:trPr>
        <w:tc>
          <w:tcPr>
            <w:tcW w:w="38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Rabbi Trust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Index Funds: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Small Cap</w:t>
            </w:r>
          </w:p>
        </w:tc>
        <w:tc>
          <w:tcPr>
            <w:tcW w:w="15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Mid Cap</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Large Cap</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Income Funds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Mexican Peso Forward Contracts</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The Rabbi Trust assets fund our amended and restated supplemental executive retirement plan and are included in Other Long-term Assets in the accompanying Condensed Consolidated Balance Sheets. Refer to discussion of Mexican peso forward contracts under Derivative Instruments above. The fair value of the Mexican peso forward contracts considers the remaining term, current exchange rate, and interest rate differentials between the U.S. dollar and Mexican peso. There were no transfers between Level 1 and Level 2 assets during the nine month period ended March 31, 2019.</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Earnings of Joint Ventures</w:t>
      </w:r>
    </w:p>
    <w:p>
      <w:pPr>
        <w:spacing w:after="0" w:line="121"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We hold a one-third interest in a joint venture company, VAST LLC, with WITTE and ADAC. VAST LLC exists to seek opportunities to manufacture and sell all three companies’ products in areas of the world outside of North America and Europe. Our investment in VAST LLC, for which we exercise significant influence but do not control and are not the primary beneficiary, is accounted for using the equity method.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are summarized statements of operations for VAST LLC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123,546</w:t>
            </w:r>
          </w:p>
        </w:tc>
        <w:tc>
          <w:tcPr>
            <w:tcW w:w="240" w:type="dxa"/>
            <w:vAlign w:val="bottom"/>
            <w:gridSpan w:val="2"/>
          </w:tcPr>
          <w:p>
            <w:pPr>
              <w:spacing w:after="0"/>
              <w:rPr>
                <w:sz w:val="18"/>
                <w:szCs w:val="18"/>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98,339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Engineering, Selling and Administrative Expenses</w:t>
            </w: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60" w:type="dxa"/>
            <w:vAlign w:val="bottom"/>
          </w:tcPr>
          <w:p>
            <w:pPr>
              <w:ind w:left="820"/>
              <w:spacing w:after="0" w:line="205" w:lineRule="exact"/>
              <w:rPr>
                <w:sz w:val="20"/>
                <w:szCs w:val="20"/>
                <w:color w:val="auto"/>
              </w:rPr>
            </w:pPr>
            <w:r>
              <w:rPr>
                <w:rFonts w:ascii="Times New Roman" w:cs="Times New Roman" w:eastAsia="Times New Roman" w:hAnsi="Times New Roman"/>
                <w:sz w:val="18"/>
                <w:szCs w:val="18"/>
                <w:color w:val="auto"/>
              </w:rPr>
              <w:t>(Loss) Income before (Benefit) Provision for Income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Taxes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STRATTEC’s Share of VAST LLC Net Income</w:t>
            </w: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2,417</w:t>
            </w:r>
          </w:p>
        </w:tc>
        <w:tc>
          <w:tcPr>
            <w:tcW w:w="240" w:type="dxa"/>
            <w:vAlign w:val="bottom"/>
            <w:gridSpan w:val="2"/>
          </w:tcPr>
          <w:p>
            <w:pPr>
              <w:spacing w:after="0"/>
              <w:rPr>
                <w:sz w:val="17"/>
                <w:szCs w:val="17"/>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3,148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Intercompany Profit Elimination</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STRATTEC’s Equity Earnings of VAST LLC</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We hold a 51% ownership interest in a joint venture company, SAL LLC, which was formed to introduce a new generation of biometric security products based upon the designs of Actuator Systems LLC, our partner. SAL LLC is considered a variable interest entity based on loans from STRATTEC as discussed below. STRATTEC is not the primary beneficiary and does not control the entity. Accordingly, our investment in SAL LLC is accounted for using the equity method.</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Loans were made from STRATTEC to SAL LLC in support of operating expenses and working capital needs. The outstanding loan amounts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totaled $2.6 million as of March 31, 2019 and July 1, 2018. As of each balance sheet date, the outstanding loan amount was eliminated against STRATTEC’s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SAL LLC in the preparation of the consolidated financial statements.</w:t>
      </w:r>
    </w:p>
    <w:p>
      <w:pPr>
        <w:spacing w:after="0" w:line="207" w:lineRule="exact"/>
        <w:rPr>
          <w:sz w:val="20"/>
          <w:szCs w:val="20"/>
          <w:color w:val="auto"/>
        </w:rPr>
      </w:pPr>
    </w:p>
    <w:p>
      <w:pPr>
        <w:jc w:val="both"/>
        <w:ind w:right="20" w:firstLine="571"/>
        <w:spacing w:after="0" w:line="256" w:lineRule="auto"/>
        <w:rPr>
          <w:sz w:val="20"/>
          <w:szCs w:val="20"/>
          <w:color w:val="auto"/>
        </w:rPr>
      </w:pPr>
      <w:r>
        <w:rPr>
          <w:rFonts w:ascii="Times New Roman" w:cs="Times New Roman" w:eastAsia="Times New Roman" w:hAnsi="Times New Roman"/>
          <w:sz w:val="18"/>
          <w:szCs w:val="18"/>
          <w:color w:val="auto"/>
        </w:rPr>
        <w:t>Even though we maintain a 51 percent ownership interest in SAL LLC, effective with our fiscal 2015 fourth quarter and thereafter, 100 percent of the funding for SAL LLC was being made by loans from STRATTEC to SAL LLC. Therefore, STRATTEC recognized 100 percent of the losses of SAL LLC up to our committed financial support through Equity Earnings of Joint Ventures in the accompanying Condensed Consolidated Statements of Income (Loss) and Comprehensive Income for all periods presented in this report. STRATTEC’s equity earnings of SAL LLC totaled $41,000 and $24,000 for the three and nine month periods ended March 31, 2019, respectively. STRATTEC’s equity loss of SAL LLC totaled $84,000 and $24,000 for the three and nine month periods ended April 1, 2018, respectively.</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business of SAL LLC has been wound down to sell only commercial biometric locks.</w:t>
      </w:r>
    </w:p>
    <w:p>
      <w:pPr>
        <w:spacing w:after="0" w:line="225" w:lineRule="exact"/>
        <w:rPr>
          <w:sz w:val="20"/>
          <w:szCs w:val="20"/>
          <w:color w:val="auto"/>
        </w:rPr>
      </w:pPr>
    </w:p>
    <w:p>
      <w:pPr>
        <w:jc w:val="both"/>
        <w:ind w:right="80" w:firstLine="571"/>
        <w:spacing w:after="0" w:line="266" w:lineRule="auto"/>
        <w:rPr>
          <w:sz w:val="20"/>
          <w:szCs w:val="20"/>
          <w:color w:val="auto"/>
        </w:rPr>
      </w:pPr>
      <w:r>
        <w:rPr>
          <w:rFonts w:ascii="Times New Roman" w:cs="Times New Roman" w:eastAsia="Times New Roman" w:hAnsi="Times New Roman"/>
          <w:sz w:val="18"/>
          <w:szCs w:val="18"/>
          <w:color w:val="auto"/>
        </w:rPr>
        <w:t>We have sales of component parts to VAST LLC and SAL LLC, purchases of component parts from VAST LLC, expenses charged to VAST LLC for engineering and accounting services and expenses charged to us from VAST LLC for general headquarters expenses. The following table summarizes these related party transactions with VAST LLC and SAL LLC for the periods indicated below (in thousands):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to VAST LLC</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39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507</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Sales to SAL LLC</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Purchases from VAST LLC</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Expenses Charged to VAST LLC</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960" w:type="dxa"/>
            <w:vAlign w:val="bottom"/>
            <w:gridSpan w:val="2"/>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Expenses Charged from VAST LLC</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960" w:type="dxa"/>
            <w:vAlign w:val="bottom"/>
            <w:gridSpan w:val="2"/>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STRATTEC has a $40 million secured revolving credit facility (the “STRATTEC Credit Facility”) with BMO Harris Bank. ADAC-STRATTEC LLC has a $30 million secured revolving credit facility (the “ADAC-STRATTEC Credit Facility”) with BMO Harris Bank N.A., which is guaranteed by STRATTEC. The credit facilities both expire August 1, 2021. The ADAC-STRATTEC Credit Facility borrowing limit decreases to $25 million effective July 1, 2019. Borrowings under either credit facility are secured by our U.S. cash balances, accounts receivable, inventory, and fixed assets. Interest on borrowings under the STRATTEC Credit Facility and interest on borrowings under the ADAC-STRATTEC Credit Facility prior to December 31, 2018 were at varying rates based, at our option, on the London Interbank Offering Rate (“LIBOR”) plus 1.0 percent or the bank’s prime rate. Effective December 31 2018, and thereafter, interest on borrowings under the ADAC-STRATTEC Credit Facility is at varying rates based, at our option, on LIBOR plus 1.25 percent or the bank’s prime rate.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March 31, 2019, we were in compliance with all financial covenants required by these credit facilities.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borrowings under the credit facilities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STRATTEC Credit Facility</w:t>
            </w:r>
          </w:p>
        </w:tc>
        <w:tc>
          <w:tcPr>
            <w:tcW w:w="2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8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2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right="300" w:firstLine="571"/>
        <w:spacing w:after="0" w:line="282" w:lineRule="auto"/>
        <w:rPr>
          <w:sz w:val="20"/>
          <w:szCs w:val="20"/>
          <w:color w:val="auto"/>
        </w:rPr>
      </w:pPr>
      <w:r>
        <w:rPr>
          <w:rFonts w:ascii="Times New Roman" w:cs="Times New Roman" w:eastAsia="Times New Roman" w:hAnsi="Times New Roman"/>
          <w:sz w:val="18"/>
          <w:szCs w:val="18"/>
          <w:color w:val="auto"/>
        </w:rPr>
        <w:t>Average outstanding borrowings and the weighted average interest rate under each credit facility referenced above were as follows for each period presented (in thousands):</w:t>
      </w:r>
    </w:p>
    <w:p>
      <w:pPr>
        <w:spacing w:after="0" w:line="236"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Average Outstanding Borrowings</w:t>
            </w:r>
          </w:p>
        </w:tc>
        <w:tc>
          <w:tcPr>
            <w:tcW w:w="26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41"/>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1"/>
                <w:szCs w:val="11"/>
                <w:color w:val="auto"/>
              </w:rPr>
            </w:pPr>
          </w:p>
        </w:tc>
        <w:tc>
          <w:tcPr>
            <w:tcW w:w="138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STRATTEC Credit Facility</w:t>
            </w: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22,212</w:t>
            </w:r>
          </w:p>
        </w:tc>
        <w:tc>
          <w:tcPr>
            <w:tcW w:w="1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26,286</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We are from time to time subject to various legal actions and claims incidental to our business, including those arising out of alleged defects, alleged breaches of contracts, product warranties, intellectual property matters and employment related matters. It is our opinion that the outcome of such matters will not have a material adverse impact on our consolidated financial position, results of operations or cash flows. With respect to warranty matters, although we cannot ensure that future costs of warranty claims by customers will not be material, we believe our established reserves are adequate to cover potential warranty settlements.</w:t>
      </w:r>
    </w:p>
    <w:p>
      <w:pPr>
        <w:spacing w:after="0" w:line="76" w:lineRule="exact"/>
        <w:rPr>
          <w:sz w:val="20"/>
          <w:szCs w:val="20"/>
          <w:color w:val="auto"/>
        </w:rPr>
      </w:pPr>
    </w:p>
    <w:p>
      <w:pPr>
        <w:ind w:firstLine="571"/>
        <w:spacing w:after="0" w:line="252" w:lineRule="auto"/>
        <w:rPr>
          <w:sz w:val="20"/>
          <w:szCs w:val="20"/>
          <w:color w:val="auto"/>
        </w:rPr>
      </w:pPr>
      <w:r>
        <w:rPr>
          <w:rFonts w:ascii="Times New Roman" w:cs="Times New Roman" w:eastAsia="Times New Roman" w:hAnsi="Times New Roman"/>
          <w:sz w:val="18"/>
          <w:szCs w:val="18"/>
          <w:color w:val="auto"/>
        </w:rPr>
        <w:t>In 1995, we recorded a provision of $3 million for estimated costs to remediate an environmental contamination site at our Milwaukee facility. The facility was contaminated by a solvent spill, which occurred in 1985, from a former above ground solvent storage tank located on the east side of the facility. The reserve was originally established based on third party estimates to adequately cover the cost for active remediation of the contamination. Due to changing technology and related costs associated with active remediation of the contamination, in fiscal 2010, the reserve was adjusted based on updated third party estimates to adequately cover the cost for active remediation of the contamination. Additionally, in fiscal 2016, we obtained updated third party estimates for adequately covering the cost for active remediation of this contamination. Based upon the updated estimates, no further adjustment to the reserve was required. From 1995 through March 31, 2019, costs of approximately $596,000 have been incurred related to the installation of monitoring wells on the property and ongoing monitoring costs. We monitor and evaluate the site with the use of these groundwater monitoring wells. An environmental consultant samples these wells one or two times a year to determine the status of the contamination and the potential for remediation of the contamination by natural attenuation, the dissipation of the contamination over time to concentrations below applicable standards. If such sampling evidences a sufficient degree of and trend toward natural attenuation of the contamination at the site, we may be able to obtain a closure letter from the regulatory authorities resolving the issue without the need for active remediation. If a sufficient degree and trend toward natural attenuation is not evidenced by sampling, a more active form of remediation beyond natural attenuation may be required. The sampling has not yet satisfied all of the requirements for closure by natural attenuation. As a result, sampling continues and the reserve remains at an amount to reflect our estimated cost of active remediation. The reserve is not measured on a discounted basis. We believe, based on findings-to-date and known environmental regulations, that the remaining environmental reserve of $1.3 million at March 31, 2019 is adequate.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right="120" w:firstLine="571"/>
        <w:spacing w:after="0" w:line="282" w:lineRule="auto"/>
        <w:rPr>
          <w:sz w:val="20"/>
          <w:szCs w:val="20"/>
          <w:color w:val="auto"/>
        </w:rPr>
      </w:pPr>
      <w:r>
        <w:rPr>
          <w:rFonts w:ascii="Times New Roman" w:cs="Times New Roman" w:eastAsia="Times New Roman" w:hAnsi="Times New Roman"/>
          <w:sz w:val="18"/>
          <w:szCs w:val="18"/>
          <w:color w:val="auto"/>
        </w:rPr>
        <w:t>A summary of activity impacting shareholders’ equity for the three and nine month periods ended March 31, 2019 and April 1, 2018 were as follows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40" w:type="dxa"/>
            <w:vAlign w:val="bottom"/>
            <w:gridSpan w:val="5"/>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73"/>
        </w:trPr>
        <w:tc>
          <w:tcPr>
            <w:tcW w:w="32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Balance, December 30, 2018</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18"/>
        </w:trPr>
        <w:tc>
          <w:tcPr>
            <w:tcW w:w="32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(135,758)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Dividend Declared</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Dividend Declared – Non-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controlling Interests of</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Subsidiaries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Translation adjustments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Adjustment, Net of</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Tax</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Option Exercises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Employee Stock Purchases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Balance, March 31, 2019</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(135,742</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April 1, 2018</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73"/>
        </w:trPr>
        <w:tc>
          <w:tcPr>
            <w:tcW w:w="32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Balance, December 31, 2017</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18"/>
        </w:trPr>
        <w:tc>
          <w:tcPr>
            <w:tcW w:w="3200" w:type="dxa"/>
            <w:vAlign w:val="bottom"/>
            <w:vMerge w:val="continue"/>
          </w:tcPr>
          <w:p>
            <w:pPr>
              <w:spacing w:after="0"/>
              <w:rPr>
                <w:sz w:val="18"/>
                <w:szCs w:val="18"/>
                <w:color w:val="auto"/>
              </w:rPr>
            </w:pPr>
          </w:p>
        </w:tc>
        <w:tc>
          <w:tcPr>
            <w:tcW w:w="560" w:type="dxa"/>
            <w:vAlign w:val="bottom"/>
            <w:gridSpan w:val="2"/>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175,856</w:t>
            </w:r>
          </w:p>
        </w:tc>
        <w:tc>
          <w:tcPr>
            <w:tcW w:w="1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94,603</w:t>
            </w:r>
          </w:p>
        </w:tc>
        <w:tc>
          <w:tcPr>
            <w:tcW w:w="20" w:type="dxa"/>
            <w:vAlign w:val="bottom"/>
            <w:tcBorders>
              <w:top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230,234</w:t>
            </w:r>
          </w:p>
        </w:tc>
        <w:tc>
          <w:tcPr>
            <w:tcW w:w="1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(33,676)</w:t>
            </w:r>
          </w:p>
        </w:tc>
        <w:tc>
          <w:tcPr>
            <w:tcW w:w="1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(135,801)</w:t>
            </w:r>
          </w:p>
        </w:tc>
        <w:tc>
          <w:tcPr>
            <w:tcW w:w="1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Dividend Declared</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Dividend Declared – Non-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controlling Interests of</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Subsidiaries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Translation adjustments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Adjustment, Net of</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Tax</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Employee Stock Purchases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Balance, April 1, 2018</w:t>
            </w:r>
          </w:p>
        </w:tc>
        <w:tc>
          <w:tcPr>
            <w:tcW w:w="5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183,182</w:t>
            </w:r>
          </w:p>
        </w:tc>
        <w:tc>
          <w:tcPr>
            <w:tcW w:w="1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94,869</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232,695</w:t>
            </w:r>
          </w:p>
        </w:tc>
        <w:tc>
          <w:tcPr>
            <w:tcW w:w="1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gridSpan w:val="2"/>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(135,790</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March 31, 2019</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560" w:type="dxa"/>
            <w:vAlign w:val="bottom"/>
            <w:gridSpan w:val="4"/>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73"/>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July 1, 2018</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18"/>
        </w:trPr>
        <w:tc>
          <w:tcPr>
            <w:tcW w:w="26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95,140</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(135,778)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 Non-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controlling Interests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Net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Stranded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(135,742</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April 1, 2018</w:t>
            </w: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560" w:type="dxa"/>
            <w:vAlign w:val="bottom"/>
            <w:gridSpan w:val="4"/>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73"/>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July 2, 2017</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18"/>
        </w:trPr>
        <w:tc>
          <w:tcPr>
            <w:tcW w:w="26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93,813</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(135,822)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 Non-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controlling Interests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Net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 April 1, 2018</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(135,790</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right="480" w:firstLine="571"/>
        <w:spacing w:after="0" w:line="261" w:lineRule="auto"/>
        <w:rPr>
          <w:sz w:val="20"/>
          <w:szCs w:val="20"/>
          <w:color w:val="auto"/>
        </w:rPr>
      </w:pPr>
      <w:r>
        <w:rPr>
          <w:rFonts w:ascii="Times New Roman" w:cs="Times New Roman" w:eastAsia="Times New Roman" w:hAnsi="Times New Roman"/>
          <w:sz w:val="18"/>
          <w:szCs w:val="18"/>
          <w:color w:val="auto"/>
        </w:rPr>
        <w:t>We generate revenue from the production of parts sold to automotive and light-truck Original Equipment Manufacturers (“OEMs”), or Tier 1 suppliers at the direction of the OEM, under long-term supply agreements supporting new vehicle production. Such agreements also require related production of service parts subsequent to the initial vehicle production periods. Additionally, we generate revenue from the production of parts sold in aftermarket service channels and to non-automotive commercial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117"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Our contracts with customers under long-term supply agreements do not commit the customer to a specified quantity of parts. However, we are generally required to fulfill our customers’ purchasing requirements for the production life of the vehicle. Contracts do not become a performance obligation until we receive either a purchase order and/or customer release for a specific number of parts at a specified price. While long-term supply agreements may range from four to six years for new vehicle production and ten to fifteen subsequent years for service parts production, contracts may be terminated by customers at any time. Historically, terminations have been minimal. Contracts may also provide for annual price reductions over the production life of the vehicle, and prices are adjusted on an ongoing basis to reflect changes in product content/cost and other commercial factors.</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763" w:right="359" w:bottom="1440" w:gutter="0" w:footer="0" w:header="0"/>
        </w:sectPr>
      </w:pPr>
    </w:p>
    <w:bookmarkStart w:id="12" w:name="page13"/>
    <w:bookmarkEnd w:id="12"/>
    <w:p>
      <w:pPr>
        <w:ind w:right="360" w:firstLine="571"/>
        <w:spacing w:after="0" w:line="255" w:lineRule="auto"/>
        <w:rPr>
          <w:sz w:val="20"/>
          <w:szCs w:val="20"/>
          <w:color w:val="auto"/>
        </w:rPr>
      </w:pPr>
      <w:r>
        <w:rPr>
          <w:rFonts w:ascii="Times New Roman" w:cs="Times New Roman" w:eastAsia="Times New Roman" w:hAnsi="Times New Roman"/>
          <w:sz w:val="18"/>
          <w:szCs w:val="18"/>
          <w:color w:val="auto"/>
        </w:rPr>
        <w:t>Revenue is recognized at a point in time when control of the parts produced are transferred to the customer according to the terms of the contract, which is usually when the parts are shipped or delivered to the customer’s premises. Customers are generally invoiced upon shipment or delivery and payment generally occurs within 45 to 90 days after the shipment date. The amount of revenue recognized reflects the consideration that we expect to be entitled to receive in exchange for those products based on purchase orders, annual price reductions and ongoing price adjustments, some of which is accounted for as variable consideration. We use the most likely amount method, the single most likely outcome of the contract, to estimate the amount to which we expect to be entitled. There were no significant changes to our estimates of variable consideration during the reporting period and significant changes to our estimates of variable consideration are not expected in future periods.</w:t>
      </w:r>
    </w:p>
    <w:p>
      <w:pPr>
        <w:spacing w:after="0" w:line="81"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We do not have an enforceable right to payment at any time prior to when the parts are shipped or delivered to the customer. Therefore, we recognize revenue at the point in time we satisfy a performance obligation by transferring control of a part to a customer. Amounts billed to customers related to shipping and handling costs are included in Net Sales in the accompanying Condensed Consolidated Statements of Income (Loss) and Comprehensive Income. Shipping and handling costs are accounted for as fulfillment costs and are included in Cost of Goods Sold in the accompanying Condensed Consolidated Statements of Income (Loss) and Comprehensive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Tooling and Pre-Production Engineering Costs Related to Long-Term Supply Arrangements:</w:t>
      </w:r>
    </w:p>
    <w:p>
      <w:pPr>
        <w:spacing w:after="0" w:line="117"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We incur pre-production engineering and tooling costs related to the products produced for our customers under long-term supply agreements. Customer reimbursements for tooling and pre-production engineering activities that are part of a long-term supply arrangement are accounted for as a reduction of cost in accordance with ASC 340, Other Assets and Deferred Costs. Pre-production costs related to long-term supply agreements with a contractual guarantee for reimbursement are included in Other Current Assets in the accompanying Condensed Consolidated Balance Sheets. We expense all pre-production engineering costs for which reimbursement is not contractually guaranteed by the customer. All pre-production tooling costs related to customer-owned tools for which reimbursement is not contractually guaranteed by the customer or for which we do not have a non-cancelable right to use the tooling is also expensed when incurred.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net:</w:t>
      </w:r>
    </w:p>
    <w:p>
      <w:pPr>
        <w:spacing w:after="0" w:line="117" w:lineRule="exact"/>
        <w:rPr>
          <w:sz w:val="20"/>
          <w:szCs w:val="20"/>
          <w:color w:val="auto"/>
        </w:rPr>
      </w:pPr>
    </w:p>
    <w:p>
      <w:pPr>
        <w:jc w:val="both"/>
        <w:ind w:right="80" w:firstLine="571"/>
        <w:spacing w:after="0" w:line="266" w:lineRule="auto"/>
        <w:rPr>
          <w:sz w:val="20"/>
          <w:szCs w:val="20"/>
          <w:color w:val="auto"/>
        </w:rPr>
      </w:pPr>
      <w:r>
        <w:rPr>
          <w:rFonts w:ascii="Times New Roman" w:cs="Times New Roman" w:eastAsia="Times New Roman" w:hAnsi="Times New Roman"/>
          <w:sz w:val="18"/>
          <w:szCs w:val="18"/>
          <w:color w:val="auto"/>
        </w:rPr>
        <w:t>Receivables, net include amounts billed and currently due from customers. We maintain an allowance for doubtful accounts to provide for estimated amounts of receivables not expected to be collected. We continually assess our receivables for collectability and any allowance is recorded based upon age of the outstanding receivables, historical payment experience, customer creditworthiness and general economic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Balances:</w:t>
      </w:r>
    </w:p>
    <w:p>
      <w:pPr>
        <w:spacing w:after="0" w:line="117"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We have no material contract assets as of March 31, 2019. Contract liability balances primarily include discounts recognized as a reduction in sales at the point of revenue recognition, but which will be applied by the customer agreement after the end of the reporting period. The activity related to contract liability balances during the nine month period ended March 31, 2019 was as follows (thousands of dollars):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Balance, July 2, 2018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Discounts Recorded as a Reduction in Sales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Payments of Discounts to Customers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34"/>
        </w:trPr>
        <w:tc>
          <w:tcPr>
            <w:tcW w:w="5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5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Balance, March 31, 2019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Product Group and Customer:</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Revenue by product group was as follows (thousands of dollars):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1"/>
                <w:szCs w:val="21"/>
                <w:color w:val="auto"/>
              </w:rPr>
            </w:pPr>
          </w:p>
        </w:tc>
        <w:tc>
          <w:tcPr>
            <w:tcW w:w="3180" w:type="dxa"/>
            <w:vAlign w:val="bottom"/>
            <w:gridSpan w:val="7"/>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Keys &amp; Locksets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34,677</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84,866</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Power Access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68,193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64,028</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83,973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63,602</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Driver Controls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31,370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39,463</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Aftermarket &amp; OE Service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Latches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128,230</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358,302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322,465</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8"/>
          <w:szCs w:val="18"/>
          <w:color w:val="auto"/>
        </w:rPr>
        <w:t>Revenue by customer or customer group was as follows (thousands of dollars):</w:t>
      </w:r>
    </w:p>
    <w:p>
      <w:pPr>
        <w:spacing w:after="0" w:line="300"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Fiat Chrysler Automobiles</w:t>
            </w: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3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64,151</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51,284</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OEM Customers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Hyundai / Kia</w:t>
            </w: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358,302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322,465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Net other income (expense) included in the accompanying Condensed Consolidated Statements of Income (Loss) and Comprehensive Income primarily included foreign currency transaction gains and losses, realized and unrealized losses on our Mexican peso currency forward contracts, net periodic pension and postretirement benefit (costs) credits, other than the service cost component, related to our pension and postretirement plans and Rabbi Trust gains and losses. Foreign currency transaction gains and losses resulted from activity associated with foreign denominated assets held by our Mexican subsidiaries. We entered into the Mexican Peso currency forward contracts to minimize earnings volatility resulting from changes in exchange rates affecting the U.S. dollar cost of our Mexican operations. The Rabbi Trust assets fund our amended and restated supplemental executive retirement plan. The investments held in this Trust are considered trading securities.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impact of these items for each of the periods presented was as follows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Peso Forward Contracts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Peso Forward Contracts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Plans (Cost) Credit</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Rabbi Trust Gain (Loss)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0" w:lineRule="exact"/>
        <w:rPr>
          <w:sz w:val="20"/>
          <w:szCs w:val="20"/>
          <w:color w:val="auto"/>
        </w:rPr>
      </w:pPr>
    </w:p>
    <w:p>
      <w:pPr>
        <w:ind w:firstLine="577"/>
        <w:spacing w:after="0" w:line="255" w:lineRule="auto"/>
        <w:rPr>
          <w:sz w:val="20"/>
          <w:szCs w:val="20"/>
          <w:color w:val="auto"/>
        </w:rPr>
      </w:pPr>
      <w:r>
        <w:rPr>
          <w:rFonts w:ascii="Times New Roman" w:cs="Times New Roman" w:eastAsia="Times New Roman" w:hAnsi="Times New Roman"/>
          <w:sz w:val="18"/>
          <w:szCs w:val="18"/>
          <w:color w:val="auto"/>
        </w:rPr>
        <w:t>Our income tax provision for the three and nine month periods ended April 1, 2018 were impacted by the Tax Cuts and Jobs Act of 2017 (“the Act”), which was signed into law on December 22, 2017 with an effective date of January 1, 2018. The Act made broad and complex changes to the U.S. tax code that affected our tax provision beginning January 1, 2018, including but not limited to (1) a reduction in the U.S. statutory tax rate to 21 percent following its effective date and a change in the measurement of our deferred tax assets and deferred tax liabilities resulting from the reduction in the statutory rate, (2) requiring a one-time transition tax on certain deemed repatriated earnings of foreign subsidiaries that is payable over eight years, and (3) bonus depreciation that will allow for full expensing of qualified property. Section 15 of the Internal Revenue Code stipulates that for our fiscal year ended July 1, 2018, a blended statutory corporate tax rate of 28% was applicable, which was based on the applicable statutory rates before and after the effective date of the Act and the number of days in our fiscal year.</w:t>
      </w:r>
    </w:p>
    <w:p>
      <w:pPr>
        <w:spacing w:after="0" w:line="185" w:lineRule="exact"/>
        <w:rPr>
          <w:sz w:val="20"/>
          <w:szCs w:val="20"/>
          <w:color w:val="auto"/>
        </w:rPr>
      </w:pPr>
    </w:p>
    <w:p>
      <w:pPr>
        <w:ind w:right="120" w:firstLine="588"/>
        <w:spacing w:after="0" w:line="256" w:lineRule="auto"/>
        <w:rPr>
          <w:sz w:val="20"/>
          <w:szCs w:val="20"/>
          <w:color w:val="auto"/>
        </w:rPr>
      </w:pPr>
      <w:r>
        <w:rPr>
          <w:rFonts w:ascii="Times New Roman" w:cs="Times New Roman" w:eastAsia="Times New Roman" w:hAnsi="Times New Roman"/>
          <w:sz w:val="18"/>
          <w:szCs w:val="18"/>
          <w:color w:val="auto"/>
        </w:rPr>
        <w:t>The SEC staff issued SAB 118, which provides guidance on accounting for the tax effects of the Act. SAB 118 provides a measurement period that should not extend beyond one year from the Act’s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Act is incomplete but the company is able to determine a reasonable estimate, it must record a provisional estimate in the financial statements. If a company cannot determine a provisional estimate to be included in the financial statements, it should continue to apply ASC 740 on the basis of the provision of the tax laws that were in effect immediately before the enactment of the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 w:name="page15"/>
    <w:bookmarkEnd w:id="14"/>
    <w:p>
      <w:pPr>
        <w:ind w:right="80" w:firstLine="588"/>
        <w:spacing w:after="0" w:line="255" w:lineRule="auto"/>
        <w:rPr>
          <w:sz w:val="20"/>
          <w:szCs w:val="20"/>
          <w:color w:val="auto"/>
        </w:rPr>
      </w:pPr>
      <w:r>
        <w:rPr>
          <w:rFonts w:ascii="Times New Roman" w:cs="Times New Roman" w:eastAsia="Times New Roman" w:hAnsi="Times New Roman"/>
          <w:sz w:val="18"/>
          <w:szCs w:val="18"/>
          <w:color w:val="auto"/>
        </w:rPr>
        <w:t>In connection with our analysis of the impact of the Act, we recorded a discrete net tax benefit of $309,000 and $854,000 for the three and nine month periods ended April 1, 2018. This net tax benefit primarily consisted of (1) the impact of the change in measurement of our deferred tax assets and liabilities, (2) the one-time transition tax on non-previously taxed post 1986 accumulated foreign earnings, and (3) the impact of changing our annualized effective tax rate. For various reasons that are discussed more fully below, we did not complete our accounting for the income tax effects for certain elements of the Act as of December 31, 2017. However, we were able to make reasonable estimates of certain effects and, therefore, recorded provisional adjustments of these elements during the three month period ended December 31, 2017. We identified these items as provisional since our analysis of the items was not complete.</w:t>
      </w:r>
    </w:p>
    <w:p>
      <w:pPr>
        <w:spacing w:after="0" w:line="189" w:lineRule="exact"/>
        <w:rPr>
          <w:sz w:val="20"/>
          <w:szCs w:val="20"/>
          <w:color w:val="auto"/>
        </w:rPr>
      </w:pPr>
    </w:p>
    <w:p>
      <w:pPr>
        <w:ind w:left="1080" w:right="200" w:firstLine="391"/>
        <w:spacing w:after="0" w:line="261" w:lineRule="auto"/>
        <w:rPr>
          <w:sz w:val="20"/>
          <w:szCs w:val="20"/>
          <w:color w:val="auto"/>
        </w:rPr>
      </w:pPr>
      <w:r>
        <w:rPr>
          <w:rFonts w:ascii="Times New Roman" w:cs="Times New Roman" w:eastAsia="Times New Roman" w:hAnsi="Times New Roman"/>
          <w:sz w:val="18"/>
          <w:szCs w:val="18"/>
          <w:color w:val="auto"/>
        </w:rPr>
        <w:t>The Act reduced the corporate tax rate to 21 percent, effective January 1, 2018. For certain of our net deferred tax assets, we recorded a provisional adjustment to reflect the reduction in the corporate tax rate. While we are able to make a reasonable estimate of the impact of the reduction in the corporate rate, it may be affected by other analyses related to the Act, including, but not limited to, the impact of our calculation of deemed repatriation of deferred foreign income and the impact of full expensing for certain assets.</w:t>
      </w:r>
    </w:p>
    <w:p>
      <w:pPr>
        <w:spacing w:after="0" w:line="207" w:lineRule="exact"/>
        <w:rPr>
          <w:sz w:val="20"/>
          <w:szCs w:val="20"/>
          <w:color w:val="auto"/>
        </w:rPr>
      </w:pPr>
    </w:p>
    <w:p>
      <w:pPr>
        <w:ind w:left="1080" w:right="120" w:firstLine="391"/>
        <w:spacing w:after="0" w:line="256" w:lineRule="auto"/>
        <w:rPr>
          <w:sz w:val="20"/>
          <w:szCs w:val="20"/>
          <w:color w:val="auto"/>
        </w:rPr>
      </w:pPr>
      <w:r>
        <w:rPr>
          <w:rFonts w:ascii="Times New Roman" w:cs="Times New Roman" w:eastAsia="Times New Roman" w:hAnsi="Times New Roman"/>
          <w:sz w:val="18"/>
          <w:szCs w:val="18"/>
          <w:color w:val="auto"/>
        </w:rPr>
        <w:t>The Deemed Repatriation Transition Tax (“Transition Tax”) is a tax on previously untaxed accumulated and current earnings and profits (E&amp;P) of certain of our foreign subsidiaries. To determine the amount of the Transition Tax, in addition to other factors, the amount of post-1986 E&amp;P of the relevant subsidiaries must be determined, as well as the amount of non-U.S. income taxes paid on such earnings. We were able to make a reasonable estimate of the Transition Tax and recorded a provisional Transition Tax obligation in the accompanying condensed financial statements for the nine months ended April 1, 2018. However, as of April 1, 2018, additional information needed to be gathered to more precisely compute the amount of the Transition Tax.</w:t>
      </w:r>
    </w:p>
    <w:p>
      <w:pPr>
        <w:spacing w:after="0" w:line="188" w:lineRule="exact"/>
        <w:rPr>
          <w:sz w:val="20"/>
          <w:szCs w:val="20"/>
          <w:color w:val="auto"/>
        </w:rPr>
      </w:pPr>
    </w:p>
    <w:p>
      <w:pPr>
        <w:ind w:left="1060" w:firstLine="391"/>
        <w:spacing w:after="0" w:line="261" w:lineRule="auto"/>
        <w:rPr>
          <w:sz w:val="20"/>
          <w:szCs w:val="20"/>
          <w:color w:val="auto"/>
        </w:rPr>
      </w:pPr>
      <w:r>
        <w:rPr>
          <w:rFonts w:ascii="Times New Roman" w:cs="Times New Roman" w:eastAsia="Times New Roman" w:hAnsi="Times New Roman"/>
          <w:sz w:val="18"/>
          <w:szCs w:val="18"/>
          <w:color w:val="auto"/>
        </w:rPr>
        <w:t>We were required to assess whether our valuation allowance analyses was affected by various aspects of the Act (e.g., deemed repatriation of deferred foreign income, Global Intangible Low-Taxed Income (“GILTI”) inclusions, and new categories of Foreign Tax Credits). Since, as discussed herein, we recorded provisional amounts related to certain portions of the Act, any corresponding determination of the need for, or change in, a valuation allowance was also provisional.</w:t>
      </w:r>
    </w:p>
    <w:p>
      <w:pPr>
        <w:spacing w:after="0" w:line="180"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As of December 30, 2018, we had completed our accounting for all income tax elements of the Act. Measurement period adjustments related to the Act recorded in the nine month period ended March 31, 2019 totaled $372,000.</w:t>
      </w:r>
    </w:p>
    <w:p>
      <w:pPr>
        <w:spacing w:after="0" w:line="162" w:lineRule="exact"/>
        <w:rPr>
          <w:sz w:val="20"/>
          <w:szCs w:val="20"/>
          <w:color w:val="auto"/>
        </w:rPr>
      </w:pPr>
    </w:p>
    <w:p>
      <w:pPr>
        <w:ind w:right="140" w:firstLine="571"/>
        <w:spacing w:after="0" w:line="255" w:lineRule="auto"/>
        <w:rPr>
          <w:sz w:val="20"/>
          <w:szCs w:val="20"/>
          <w:color w:val="auto"/>
        </w:rPr>
      </w:pPr>
      <w:r>
        <w:rPr>
          <w:rFonts w:ascii="Times New Roman" w:cs="Times New Roman" w:eastAsia="Times New Roman" w:hAnsi="Times New Roman"/>
          <w:sz w:val="18"/>
          <w:szCs w:val="18"/>
          <w:color w:val="auto"/>
        </w:rPr>
        <w:t>Our income tax provision for the three and nine month periods ended March 31, 2019 were impacted by a $7.9 million tax benefit resulting from the termination of our qualified, noncontributory defined benefit pension plan as discussed under Pension and Postretirement Benefits below and a reduction in the expected effective tax rate as compared to the prior year period. Our income tax provision for the nine month period ended March 31, 2019 was also impacted by a discrete benefit of $372,000, which represents measurement period adjustments to the one-time transition tax on non-previously taxed post 1986 accumulated foreign earnings. The expected annual effective tax rate between our fiscal 2019 and 2018 years decreased from approximately 20.6 percent as April 1, 2018 to approximately 10.7 percent as of March 31, 2019 due to the reduction in the U.S. statutory rate between years and changes in the U.S. taxation of non-U.S. earnings.</w:t>
      </w:r>
    </w:p>
    <w:p>
      <w:pPr>
        <w:spacing w:after="0" w:line="189" w:lineRule="exact"/>
        <w:rPr>
          <w:sz w:val="20"/>
          <w:szCs w:val="20"/>
          <w:color w:val="auto"/>
        </w:rPr>
      </w:pPr>
    </w:p>
    <w:p>
      <w:pPr>
        <w:ind w:right="80" w:firstLine="661"/>
        <w:spacing w:after="0" w:line="266" w:lineRule="auto"/>
        <w:rPr>
          <w:sz w:val="20"/>
          <w:szCs w:val="20"/>
          <w:color w:val="auto"/>
        </w:rPr>
      </w:pPr>
      <w:r>
        <w:rPr>
          <w:rFonts w:ascii="Times New Roman" w:cs="Times New Roman" w:eastAsia="Times New Roman" w:hAnsi="Times New Roman"/>
          <w:sz w:val="18"/>
          <w:szCs w:val="18"/>
          <w:color w:val="auto"/>
        </w:rPr>
        <w:t>Additionally, our income tax provisions for the three and nine months ended March 31, 2019 and April 1, 2018 were affected by the non-controlling interest portion of our pre-tax income. The non-controlling interest impacts the effective tax rate as ADAC-STRATTEC LLC and STRATTEC POWER ACCESS LLC entities are taxed as partnerships for U.S. tax purposes.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 (EPS)</w:t>
      </w:r>
    </w:p>
    <w:p>
      <w:pPr>
        <w:spacing w:after="0" w:line="121"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on the basis of the weighted average number of shares of common stock outstanding during the applicable period. Diluted earnings per share is computed on the basis of the weighted average number of shares of common stock plus the potential dilutive common shares outstanding during the applicable period using the treasury stock method. Potential dilutive common shares include outstanding stock options and unvested restricted stock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Pr>
          <w:p>
            <w:pPr>
              <w:spacing w:after="0"/>
              <w:rPr>
                <w:sz w:val="11"/>
                <w:szCs w:val="11"/>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 Option and Restricted</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Awards</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11"/>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0" w:type="dxa"/>
            <w:vAlign w:val="bottom"/>
          </w:tcPr>
          <w:p>
            <w:pPr>
              <w:spacing w:after="0"/>
              <w:rPr>
                <w:sz w:val="11"/>
                <w:szCs w:val="11"/>
                <w:color w:val="auto"/>
              </w:rPr>
            </w:pP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Pr>
          <w:p>
            <w:pPr>
              <w:spacing w:after="0"/>
              <w:rPr>
                <w:sz w:val="11"/>
                <w:szCs w:val="11"/>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60" w:type="dxa"/>
            <w:vAlign w:val="bottom"/>
            <w:vMerge w:val="continue"/>
          </w:tcPr>
          <w:p>
            <w:pPr>
              <w:spacing w:after="0"/>
              <w:rPr>
                <w:sz w:val="19"/>
                <w:szCs w:val="19"/>
                <w:color w:val="auto"/>
              </w:rPr>
            </w:pPr>
          </w:p>
        </w:tc>
        <w:tc>
          <w:tcPr>
            <w:tcW w:w="320" w:type="dxa"/>
            <w:vAlign w:val="bottom"/>
            <w:gridSpan w:val="2"/>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3,670</w:t>
            </w: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w w:val="87"/>
              </w:rPr>
              <w:t>(4.62)</w:t>
            </w:r>
          </w:p>
        </w:tc>
        <w:tc>
          <w:tcPr>
            <w:tcW w:w="10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3,625</w:t>
            </w:r>
          </w:p>
        </w:tc>
        <w:tc>
          <w:tcPr>
            <w:tcW w:w="220" w:type="dxa"/>
            <w:vAlign w:val="bottom"/>
            <w:gridSpan w:val="3"/>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 Option and Restricted</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Awards</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20" w:type="dxa"/>
            <w:vAlign w:val="bottom"/>
            <w:gridSpan w:val="2"/>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gridSpan w:val="2"/>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3,702</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571"/>
        <w:spacing w:after="0" w:line="266" w:lineRule="auto"/>
        <w:rPr>
          <w:sz w:val="20"/>
          <w:szCs w:val="20"/>
          <w:color w:val="auto"/>
        </w:rPr>
      </w:pPr>
      <w:r>
        <w:rPr>
          <w:rFonts w:ascii="Times New Roman" w:cs="Times New Roman" w:eastAsia="Times New Roman" w:hAnsi="Times New Roman"/>
          <w:sz w:val="18"/>
          <w:szCs w:val="18"/>
          <w:color w:val="auto"/>
        </w:rPr>
        <w:t>The calculation of earnings per share excluded 41,200 share-based payment awards for the quarters ended March 31, 2019 and April 1, 2018 because their inclusion would have been anti-dilutive. The calculation of earnings (loss) per share excluded 181,867 and 41,200 shares-based payment awards for the nine month periods ended March 31, 2019 and April 1, 2018, respectively, because their inclusion would have been anti-dilutive.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firstLine="571"/>
        <w:spacing w:after="0" w:line="261" w:lineRule="auto"/>
        <w:rPr>
          <w:sz w:val="20"/>
          <w:szCs w:val="20"/>
          <w:color w:val="auto"/>
        </w:rPr>
      </w:pPr>
      <w:r>
        <w:rPr>
          <w:rFonts w:ascii="Times New Roman" w:cs="Times New Roman" w:eastAsia="Times New Roman" w:hAnsi="Times New Roman"/>
          <w:sz w:val="18"/>
          <w:szCs w:val="18"/>
          <w:color w:val="auto"/>
        </w:rPr>
        <w:t>We maintain an omnibus stock incentive plan. This plan provides for the granting of stock options, shares of restricted stock and stock appreciation rights. As of March 31, 2019, the Board of Directors had designated 1,850,000 shares of common stock available for the grant of awards under the plan. Remaining shares available to be granted under the plan as of March 31, 2019 were 148,239. Awards that expire or are canceled without delivery of shares become available for re-issuance under the plan. We issue new shares of common stock to satisfy stock option exercises.</w:t>
      </w:r>
    </w:p>
    <w:p>
      <w:pPr>
        <w:spacing w:after="0" w:line="180"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Nonqualified and incentive stock options and shares of restricted stock have been granted to our officers, outside directors and specified associates under our stock incentive plan. Stock options granted under the plan may not be issued with an exercise price less than the fair market value of the common stock on the date the option is granted. Stock options become exercisable as determined at the date of grant by the Compensation Committee of the Board of Directors. The options expire 10 years after the grant date unless an earlier expiration date is set at the time of grant. The options vest 1 to 4 years after the date of grant as determined by the Compensation Committee of the Board of Directors. Shares of restricted stock granted under the plan are subject to vesting criteria determined by the Compensation Committee of the Board of Directors at the time the shares are granted and have a minimum vesting period of one year from the date of grant. Unvested restricted shares granted have voting rights, regardless of whether the shares are vested or unvested, but only have the right to receive cash dividends after such shares become vested. Restricted stock grants vest 1 to 5 years after the date of grant as determined by the Compensation Committee of the Board of Directors.</w:t>
      </w:r>
    </w:p>
    <w:p>
      <w:pPr>
        <w:spacing w:after="0" w:line="189"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was estimated as of the date of grant using the Black-Scholes pricing model. The fair value of each restricted stock grant was based on the market price of the underlying common stock as of the date of grant. The resulting compensation cost for fixed awards with graded vesting schedules is amortized on a straight line basis over the vesting period for the entire award.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8"/>
          <w:szCs w:val="18"/>
          <w:color w:val="auto"/>
        </w:rPr>
        <w:t>A summary of stock option activity under our stock incentive plan for the nine months ended March 31, 2019 was as follows:</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July 1, 2018</w:t>
            </w: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tcPr>
          <w:p>
            <w:pPr>
              <w:spacing w:after="0" w:line="20" w:lineRule="exact"/>
              <w:rPr>
                <w:sz w:val="1"/>
                <w:szCs w:val="1"/>
                <w:color w:val="auto"/>
              </w:rPr>
            </w:pPr>
          </w:p>
        </w:tc>
        <w:tc>
          <w:tcPr>
            <w:tcW w:w="2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March 31, 2019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117,360</w:t>
            </w:r>
          </w:p>
        </w:tc>
        <w:tc>
          <w:tcPr>
            <w:tcW w:w="120" w:type="dxa"/>
            <w:vAlign w:val="bottom"/>
          </w:tcPr>
          <w:p>
            <w:pPr>
              <w:spacing w:after="0"/>
              <w:rPr>
                <w:sz w:val="19"/>
                <w:szCs w:val="19"/>
                <w:color w:val="auto"/>
              </w:rPr>
            </w:pP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00" w:type="dxa"/>
            <w:vAlign w:val="bottom"/>
          </w:tcPr>
          <w:p>
            <w:pPr>
              <w:spacing w:after="0"/>
              <w:rPr>
                <w:sz w:val="19"/>
                <w:szCs w:val="19"/>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March 31, 2019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00" w:type="dxa"/>
            <w:vAlign w:val="bottom"/>
          </w:tcPr>
          <w:p>
            <w:pPr>
              <w:spacing w:after="0" w:line="20" w:lineRule="exact"/>
              <w:rPr>
                <w:sz w:val="1"/>
                <w:szCs w:val="1"/>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62"/>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117,360</w:t>
            </w: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71"/>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and the fair value of stock options that vested during the three and nine month periods presented below were as follows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24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39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Stock Options Vesting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options were granted during the nine month periods ended March 31, 2019 or April 1, 2018.</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restricted stock activity under our omnibus stock incentive plan for the nine months ended March 31, 2019 was as follows:</w:t>
      </w:r>
    </w:p>
    <w:p>
      <w:pPr>
        <w:spacing w:after="0" w:line="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Nonvested Balance, July 1, 2018</w:t>
            </w: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8"/>
        </w:trPr>
        <w:tc>
          <w:tcPr>
            <w:tcW w:w="5480" w:type="dxa"/>
            <w:vAlign w:val="bottom"/>
            <w:vMerge w:val="continue"/>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Nonvested Balance, March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71"/>
        <w:spacing w:after="0" w:line="261" w:lineRule="auto"/>
        <w:rPr>
          <w:sz w:val="20"/>
          <w:szCs w:val="20"/>
          <w:color w:val="auto"/>
        </w:rPr>
      </w:pPr>
      <w:r>
        <w:rPr>
          <w:rFonts w:ascii="Times New Roman" w:cs="Times New Roman" w:eastAsia="Times New Roman" w:hAnsi="Times New Roman"/>
          <w:sz w:val="18"/>
          <w:szCs w:val="18"/>
          <w:color w:val="auto"/>
        </w:rPr>
        <w:t>As of March 31, 2019, all compensation cost related to outstanding stock options granted under our omnibus stock incentive plan has been recognized. As of March 31, 2019, there was approximately $1.4 million of total unrecognized compensation cost related to unvested restricted stock grants outstanding under the plan. This cost is expected to be recognized over a remaining weighted average period of one year. Total unrecognized compensation cost will be adjusted for any future changes in estimated and actual forfeitures of awards granted under our omnibus stock incentive plan.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Postretirement Benefits</w:t>
      </w:r>
    </w:p>
    <w:p>
      <w:pPr>
        <w:spacing w:after="0" w:line="121"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We have a qualified, noncontributory defined benefit pension plan (“Qualified Pension Plan”) covering substantially all U.S. associates employed by us prior to January 1, 2010. Effective December 31, 2009, the Board of Directors amended the Qualified Pension Plan to freeze benefit accruals and future eligibility. The Board of Directors has subsequently approved to proceed with the termination of the Qualified Pension Plan. During the quarter ended December 30, 2018, we completed a substantial portion of terminating the Qualified Pension Plan. In connection with the termination of the Qualified Pension Plan, distributions from the Qualified Pension Plan trust were made during the three month period ended December 30, 2018 to participants who elected lump-sum distributions. Additionally, during the three months ended December 30, 2018, we entered into an agreement with an insurance company to purchase from us, through a series of annuity contracts, our remaining obligations under the Qualified Pension Plan and, as a result, we settled the remaining obligations under the plan for the remaining participants utilizing funds available in the Qualified Pension Plan trust. No additional cash contributions to the trust were required to settle the pension obligations. As a result of these actions, a non-cash pre-tax settlement charge of $32.4 million was recorded during the quarter ended December 30, 2018. A remaining non-cash compensation expense charge of approximately $8 million is expected to be recorded in future periods when the Qualified Pension Plan is fully terminated and the excess Plan assets are transferred to a STRATTEC defined contribution plan and subsequently paid out.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7" w:name="page18"/>
    <w:bookmarkEnd w:id="17"/>
    <w:p>
      <w:pPr>
        <w:ind w:firstLine="571"/>
        <w:spacing w:after="0" w:line="252" w:lineRule="auto"/>
        <w:rPr>
          <w:sz w:val="20"/>
          <w:szCs w:val="20"/>
          <w:color w:val="auto"/>
        </w:rPr>
      </w:pPr>
      <w:r>
        <w:rPr>
          <w:rFonts w:ascii="Times New Roman" w:cs="Times New Roman" w:eastAsia="Times New Roman" w:hAnsi="Times New Roman"/>
          <w:sz w:val="18"/>
          <w:szCs w:val="18"/>
          <w:color w:val="auto"/>
        </w:rPr>
        <w:t>We have historically had in place a noncontributory supplemental executive retirement plan (“SERP”), which prior to January 1, 2014 was a nonqualified defined benefit plan that essentially mirrored the Qualified Pension Plan, but provided benefits in excess of certain limits placed on our Qualified Pension Plan by the Internal Revenue Code. As noted above, we froze our Qualified Pension Plan effective as of December 31, 2009 and the SERP provided benefits to participants as if the Qualified Pension Plan had not been frozen. Because the Qualified Pension Plan was frozen and because new employees were not eligible to participate in the Qualified Pension Plan, our Board of Directors adopted amendments to the SERP on October 8, 2013 that were effective as of December 31, 2013 to simplify the SERP calculation. The SERP is funded through a Rabbi Trust with BMO Harris Bank N.A. Under the amended SERP, participants received an accrued lump-sum benefit as of December 31, 2013, which was credited to each participant’s account. Subsequent to December 31, 2013, each eligible participant received, and currently receives, a supplemental retirement benefit equal to the foregoing lump sum benefit, plus an annual benefit accrual equal to 8 percent of the participant’s base salary and cash bonus, plus annual credited interest on the participant’s account balance. All then current participants as of December 31, 2013 are fully vested in their account balances with any new individuals participating in the SERP effective on or after January 1, 2014 being subject to a five year vesting period. The SERP, which is considered a nonqualified defined benefit plan under applicable rules and regulations of the Internal Revenue Code, will continue to be funded through use of a Rabbi Trust to hold investment assets to be used in part to fund any future required lump sum benefit payments to participants. The Rabbi Trust assets had a value of $2.8 million at March 31, 2019 and at July 1, 2018 and are included in Other Long-Term Assets in the accompanying Condensed Consolidated Balance Sheets.</w:t>
      </w:r>
    </w:p>
    <w:p>
      <w:pPr>
        <w:spacing w:after="0" w:line="19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We also sponsor a postretirement health care plan for all U.S. associates hired prior to June 1, 2001. The expected cost of retiree health care benefits is recognized during the years the associates who are covered under the plan render service. Effective January 1, 2010, an amendment to the postretirement health care plan limited the benefit for future eligible retirees to $4,000 per plan year and the benefit is further subject to a maximum five year coverage period based on the associate’s retirement date and age. The postretirement health care plan is unfunded.</w:t>
      </w:r>
    </w:p>
    <w:p>
      <w:pPr>
        <w:spacing w:after="0" w:line="180" w:lineRule="exact"/>
        <w:rPr>
          <w:sz w:val="20"/>
          <w:szCs w:val="20"/>
          <w:color w:val="auto"/>
        </w:rPr>
      </w:pPr>
    </w:p>
    <w:p>
      <w:pPr>
        <w:jc w:val="both"/>
        <w:ind w:right="120" w:firstLine="571"/>
        <w:spacing w:after="0" w:line="266" w:lineRule="auto"/>
        <w:rPr>
          <w:sz w:val="20"/>
          <w:szCs w:val="20"/>
          <w:color w:val="auto"/>
        </w:rPr>
      </w:pPr>
      <w:r>
        <w:rPr>
          <w:rFonts w:ascii="Times New Roman" w:cs="Times New Roman" w:eastAsia="Times New Roman" w:hAnsi="Times New Roman"/>
          <w:sz w:val="18"/>
          <w:szCs w:val="18"/>
          <w:color w:val="auto"/>
        </w:rPr>
        <w:t>The service cost component of the net periodic benefit costs under these plans is allocated between Cost of Goods Sold and Engineering, Selling and Administrative Expenses while the remaining components of the net periodic benefit costs are included in Other Income (Expense), net in the accompanying Condensed Consolidated Statements of Income (Loss) and Comprehensive Income.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net periodic benefit cost recognized for each of the periods indicated under these plans (in thousands):</w:t>
      </w:r>
    </w:p>
    <w:p>
      <w:pPr>
        <w:spacing w:after="0" w:line="300" w:lineRule="exact"/>
        <w:rPr>
          <w:sz w:val="20"/>
          <w:szCs w:val="20"/>
          <w:color w:val="auto"/>
        </w:rPr>
      </w:pPr>
    </w:p>
    <w:tbl>
      <w:tblPr>
        <w:tblLayout w:type="fixed"/>
        <w:tblInd w:w="5780" w:type="dxa"/>
        <w:tblCellMar>
          <w:top w:w="0" w:type="dxa"/>
          <w:left w:w="0" w:type="dxa"/>
          <w:bottom w:w="0" w:type="dxa"/>
          <w:right w:w="0" w:type="dxa"/>
        </w:tblCellMar>
      </w:tblPr>
      <w:tr>
        <w:trPr>
          <w:trHeight w:val="173"/>
        </w:trPr>
        <w:tc>
          <w:tcPr>
            <w:tcW w:w="25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56"/>
        </w:trPr>
        <w:tc>
          <w:tcPr>
            <w:tcW w:w="238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73"/>
        </w:trPr>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580"/>
        <w:spacing w:after="0"/>
        <w:rPr>
          <w:sz w:val="20"/>
          <w:szCs w:val="20"/>
          <w:color w:val="auto"/>
        </w:rPr>
      </w:pPr>
      <w:r>
        <w:rPr>
          <w:rFonts w:ascii="Times New Roman" w:cs="Times New Roman" w:eastAsia="Times New Roman" w:hAnsi="Times New Roman"/>
          <w:sz w:val="18"/>
          <w:szCs w:val="18"/>
          <w:color w:val="auto"/>
        </w:rPr>
        <w:t>Service cost</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cost</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Amortization of prior service cost (credit)</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Amortization of unrecognized net loss</w:t>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periodic benefit cost (credit)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Borders>
              <w:bottom w:val="single" w:sz="8" w:color="auto"/>
            </w:tcBorders>
            <w:gridSpan w:val="7"/>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tcBorders>
              <w:bottom w:val="single" w:sz="8" w:color="auto"/>
            </w:tcBorders>
            <w:gridSpan w:val="7"/>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2">
            <w:col w:w="5060" w:space="720"/>
            <w:col w:w="5640"/>
          </w:cols>
          <w:pgMar w:left="240" w:top="580" w:right="239" w:bottom="1440" w:gutter="0" w:footer="0" w:header="0"/>
          <w:type w:val="continuous"/>
        </w:sectPr>
      </w:pPr>
    </w:p>
    <w:tbl>
      <w:tblPr>
        <w:tblLayout w:type="fixed"/>
        <w:tblInd w:w="360" w:type="dxa"/>
        <w:tblCellMar>
          <w:top w:w="0" w:type="dxa"/>
          <w:left w:w="0" w:type="dxa"/>
          <w:bottom w:w="0" w:type="dxa"/>
          <w:right w:w="0" w:type="dxa"/>
        </w:tblCellMar>
      </w:tblPr>
      <w:tr>
        <w:trPr>
          <w:trHeight w:val="22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48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(2,276)</w:t>
            </w:r>
          </w:p>
        </w:tc>
        <w:tc>
          <w:tcPr>
            <w:tcW w:w="3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Plan Settlements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(32,434)</w:t>
            </w: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4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20"/>
                <w:szCs w:val="20"/>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138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0" w:firstLine="571"/>
        <w:spacing w:after="0" w:line="282" w:lineRule="auto"/>
        <w:rPr>
          <w:sz w:val="20"/>
          <w:szCs w:val="20"/>
          <w:color w:val="auto"/>
        </w:rPr>
      </w:pPr>
      <w:r>
        <w:rPr>
          <w:rFonts w:ascii="Times New Roman" w:cs="Times New Roman" w:eastAsia="Times New Roman" w:hAnsi="Times New Roman"/>
          <w:sz w:val="18"/>
          <w:szCs w:val="18"/>
          <w:color w:val="auto"/>
        </w:rPr>
        <w:t>No voluntary contributions were made to the Qualified Pension Plan during the nine month periods ended March 31, 2019 and April 1, 2018. No additional contributions will be made in conjunction with the termination of the Qualified Pension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for each period presented (in thousands):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8"/>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Nine Months Ended March 31, 2019</w:t>
            </w: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80" w:type="dxa"/>
            <w:vAlign w:val="bottom"/>
          </w:tcPr>
          <w:p>
            <w:pPr>
              <w:spacing w:after="0"/>
              <w:rPr>
                <w:sz w:val="12"/>
                <w:szCs w:val="12"/>
                <w:color w:val="auto"/>
              </w:rPr>
            </w:pPr>
          </w:p>
        </w:tc>
        <w:tc>
          <w:tcPr>
            <w:tcW w:w="12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July 1, 2018</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5"/>
        </w:trPr>
        <w:tc>
          <w:tcPr>
            <w:tcW w:w="462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Net other comprehensive loss before</w:t>
            </w:r>
          </w:p>
        </w:tc>
        <w:tc>
          <w:tcPr>
            <w:tcW w:w="7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Reclassifications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Pension Termination Settlement (A)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0" w:type="dxa"/>
            <w:vAlign w:val="bottom"/>
          </w:tcPr>
          <w:p>
            <w:pPr>
              <w:spacing w:after="0"/>
              <w:rPr>
                <w:sz w:val="1"/>
                <w:szCs w:val="1"/>
                <w:color w:val="auto"/>
              </w:rPr>
            </w:pPr>
          </w:p>
        </w:tc>
      </w:tr>
      <w:tr>
        <w:trPr>
          <w:trHeight w:val="230"/>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service credits (A)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Actuarial gains (A)</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18"/>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reclassifications</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attributable to non-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controlling interest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4"/>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stranded tax effects</w:t>
            </w: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Nine Months Ended April 1, 2018</w:t>
            </w: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80" w:type="dxa"/>
            <w:vAlign w:val="bottom"/>
          </w:tcPr>
          <w:p>
            <w:pPr>
              <w:spacing w:after="0"/>
              <w:rPr>
                <w:sz w:val="12"/>
                <w:szCs w:val="12"/>
                <w:color w:val="auto"/>
              </w:rPr>
            </w:pPr>
          </w:p>
        </w:tc>
        <w:tc>
          <w:tcPr>
            <w:tcW w:w="12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July 2, 2017</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34"/>
        </w:trPr>
        <w:tc>
          <w:tcPr>
            <w:tcW w:w="4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62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Net other comprehensive loss before</w:t>
            </w:r>
          </w:p>
        </w:tc>
        <w:tc>
          <w:tcPr>
            <w:tcW w:w="7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Reclassifications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service credits (A)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Unrecognized net loss (A)</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18"/>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reclassifications</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attributable to non-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controlling interest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April 1, 2018</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are included in the computation of net periodic benefit cost and the pension termination settlement charge, which is included in Other Income (Expense), net in the accompanying Condensed Consolidated Statements of Income (Loss) and Comprehensive Income. See Pension and Postretirement Benefits note to these Notes to Condensed Consolidated Financial Statements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360"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FINANCIAL CONDITION AND RESULTS OF OPERATIONS</w:t>
      </w:r>
    </w:p>
    <w:p>
      <w:pPr>
        <w:spacing w:after="0" w:line="207" w:lineRule="exact"/>
        <w:rPr>
          <w:sz w:val="20"/>
          <w:szCs w:val="20"/>
          <w:color w:val="auto"/>
        </w:rPr>
      </w:pPr>
    </w:p>
    <w:p>
      <w:pPr>
        <w:ind w:right="260" w:firstLine="571"/>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STRATTEC SECURITY CORPORATION’s accompanying Condensed Consolidated Financial Statements and Notes thereto and its 2018 Annual Report which was filed with the Securities and Exchange Commission as an exhibit to its Form 10-K on September 6, 2018. Unless otherwise indicated, all references to quarters and years refer to fiscal quarters and fiscal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140" w:firstLine="571"/>
        <w:spacing w:after="0" w:line="256" w:lineRule="auto"/>
        <w:rPr>
          <w:sz w:val="20"/>
          <w:szCs w:val="20"/>
          <w:color w:val="auto"/>
        </w:rPr>
      </w:pPr>
      <w:r>
        <w:rPr>
          <w:rFonts w:ascii="Times New Roman" w:cs="Times New Roman" w:eastAsia="Times New Roman" w:hAnsi="Times New Roman"/>
          <w:sz w:val="18"/>
          <w:szCs w:val="18"/>
          <w:color w:val="auto"/>
        </w:rPr>
        <w:t>During the fiscal years ended July 1, 2018 and July 2, 2017, we experienced stronger sales demand for our components from our major North American automotive customers, Fiat Chrysler Automobiles, General Motors Company and Ford Motor Company, as it relates to light trucks and both sport and car based utility vehicles in comparison to passenger cars, which was likely influenced by both lower gas prices and consumer preferences. If gas prices continue to remain flat or slightly higher over the next few years, we anticipate this consumer buying trend will continue. As we look out in calendar 2019, the current sales projections from our third party forecasting service indicate that North American light vehicle production will remain flat or slightly lower than the levels experienced during calendar year 2018.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2019 compared to the three months ended April 1, 2018</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920" w:type="dxa"/>
            <w:vAlign w:val="bottom"/>
          </w:tcPr>
          <w:p>
            <w:pPr>
              <w:jc w:val="center"/>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 (in millions)</w:t>
            </w:r>
          </w:p>
        </w:tc>
        <w:tc>
          <w:tcPr>
            <w:tcW w:w="1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sales to each of our customers or customer groups in the current year quarter and prior year quarter were as follows (in millions):</w:t>
      </w:r>
    </w:p>
    <w:p>
      <w:pPr>
        <w:spacing w:after="0" w:line="8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Fiat Chrysler Automobiles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OEM Customers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Hyundai / Kia</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Sales to Fiat Chrysler Automobiles decreased in the current year quarter as compared to the prior year quarter due to lower production volumes on the vehicles we supply. The increase in sales to General Motors Company in the current year quarter as compared to the prior year quarter was attributed to higher sales content on models for which we supply components, in particular power access products and latches. Sales to Ford Motor Company decreased in the current year quarter as compared to the prior year quarter due to a combination of discontinued models and lower production volumes on the vehicles for which we supply components. Sales to Tier 1 Customers increased in the current year quarter as compared to the prior year quarter due to higher sales of our door handle and component products. Sales to Commercial and Other OEM Customers during the current year quarter increased in comparison to the prior year quarter due to increases in sales related to painted door handle programs for Volkswagen. These Commercial and Other OEM Customers, along with our Tier 1 Customers, represent purchasers of vehicle access control products, such as latches, fobs, driver controls and door handles that we have developed in recent years to complement our historic core business of locks and keys. The increase in sales to Hyundai / Kia in the current year quarter as compared to the prior year quarter is due to higher levels of production of the Kia Sedona minivan for which we supply primarily power sliding door components.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0" w:name="page21"/>
    <w:bookmarkEnd w:id="20"/>
    <w:tbl>
      <w:tblPr>
        <w:tblLayout w:type="fixed"/>
        <w:tblInd w:w="146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22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Goods Sold (in millions)</w:t>
            </w:r>
          </w:p>
        </w:tc>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40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Direct material costs are the most significant component of our cost of goods sold and comprised $74.5 million or 66.2 percent of our cost of goods sold in the current year quarter compared to $65.6 million or 64.5 percent of our cost of goods sold in the prior year quarter. The increase in our direct material costs between these quarters of $8.9 million or 13.6 percent was due to increased sales volumes in the current year quarter as compared to the prior year quarter. The increase in our direct material costs as a percentage of our cost of goods sold in the current year quarter as compared to the prior year quarter was due to increased nonconforming costs resulting from internal manufacturing process quality issues in the current quarter as compared to the prior year quarter and an increase in sales of products for certain electrical and latch programs in the current year quarter over the prior year quarter, for which the direct material content represents a more significant portion of the total cost of the product. This trend is expected to continue for the remainder of our fiscal year 2019.</w:t>
      </w:r>
    </w:p>
    <w:p>
      <w:pPr>
        <w:spacing w:after="0" w:line="185"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The remaining components of our cost of goods sold consist of labor and overhead costs which increased $2.0 million or 5.6 percent to $38.0 million in the current year quarter from $36.0 million in the prior year quarter as the variable portion of these costs increased due to the increase in sales volumes between the three month periods. Additionally, an increase in the Mexican minimum wage for our Mexican workforce effective January 1, 2019 and higher than expected production costs at our door handle paint and assembly facility in Leon, Mexico, increased costs in the current year quarter as compared to the prior year quarter. These cost increases were partially offset by a favorable product sales mix, which included increased sales of our door handle and exterior trim and power access products, and the impact of a favorable Mexican peso to U.S. dollar exchange rate affecting our operations in Mexico. The U.S. dollar value of our Mexican operations was favorably impacted by approximately $472,000 in the current year quarter as compared to the prior year quarter due to a favorable Mexican peso to U.S. dollar exchange rate between these quarterly periods. The average U.S. dollar / Mexican peso exchange rate increased to approximately 19.28 pesos to the dollar in the current year quarter from approximately 18.75 pesos to the dollar in the prior year quarter.</w:t>
      </w:r>
    </w:p>
    <w:p>
      <w:pPr>
        <w:spacing w:after="0" w:line="264" w:lineRule="exact"/>
        <w:rPr>
          <w:sz w:val="20"/>
          <w:szCs w:val="20"/>
          <w:color w:val="auto"/>
        </w:rPr>
      </w:pPr>
    </w:p>
    <w:tbl>
      <w:tblPr>
        <w:tblLayout w:type="fixed"/>
        <w:tblInd w:w="16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0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(in millions)</w:t>
            </w:r>
          </w:p>
        </w:tc>
        <w:tc>
          <w:tcPr>
            <w:tcW w:w="1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6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8"/>
              </w:rPr>
              <w:t>13.0%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Gross profit dollars increased in the current year quarter as compared to the prior year quarter as a result of an increase in sales partially offset by an increase in cost of goods sold, as discussed above. Gross profit as a percentage of net sales decreased between periods. The current quarter gross profit as a percentage of net sales was negatively impacted by an increase in the Mexican minimum wage and higher than expected production costs at our door handle paint and assembly facility in Leon, Mexico, as well as lower gross profit margins on products associated with certain new electrical, latch and lockset programs, which were implemented during the twelve month period ending March 31, 2019. The lower gross margins associated with these programs is the result of competitive pricing. These unfavorable impacts were partially offset by the impact of a favorable product sales mix and a favorable Mexican peso to U.S. dollar exchange rate impacting the U.S. dollar value of our Mexican operations, as discussed above.</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Engineering, selling and administrative expenses in the current year quarter and prior year quarter were as follows:</w:t>
      </w:r>
    </w:p>
    <w:p>
      <w:pPr>
        <w:spacing w:after="0" w:line="300" w:lineRule="exact"/>
        <w:rPr>
          <w:sz w:val="20"/>
          <w:szCs w:val="20"/>
          <w:color w:val="auto"/>
        </w:rPr>
      </w:pPr>
    </w:p>
    <w:tbl>
      <w:tblPr>
        <w:tblLayout w:type="fixed"/>
        <w:tblInd w:w="16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Expenses (in millions)</w:t>
            </w:r>
          </w:p>
        </w:tc>
        <w:tc>
          <w:tcPr>
            <w:tcW w:w="1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Expenses as a percentage of net sales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571"/>
        <w:spacing w:after="0" w:line="266" w:lineRule="auto"/>
        <w:rPr>
          <w:sz w:val="20"/>
          <w:szCs w:val="20"/>
          <w:color w:val="auto"/>
        </w:rPr>
      </w:pPr>
      <w:r>
        <w:rPr>
          <w:rFonts w:ascii="Times New Roman" w:cs="Times New Roman" w:eastAsia="Times New Roman" w:hAnsi="Times New Roman"/>
          <w:sz w:val="18"/>
          <w:szCs w:val="18"/>
          <w:color w:val="auto"/>
        </w:rPr>
        <w:t>Engineering, selling and administrative expenses in the current year quarter increased in comparison to the prior year quarter as a result of higher outside expenditures on new product development costs associated with utilizing third party vendors for a portion of our development work. The expenses decreased as a percentage of net sales due to the increase in sales between quarters as previously discussed.</w:t>
      </w:r>
    </w:p>
    <w:p>
      <w:pPr>
        <w:spacing w:after="0" w:line="176" w:lineRule="exact"/>
        <w:rPr>
          <w:sz w:val="20"/>
          <w:szCs w:val="20"/>
          <w:color w:val="auto"/>
        </w:rPr>
      </w:pPr>
    </w:p>
    <w:p>
      <w:pPr>
        <w:ind w:right="120" w:firstLine="571"/>
        <w:spacing w:after="0" w:line="282" w:lineRule="auto"/>
        <w:rPr>
          <w:sz w:val="20"/>
          <w:szCs w:val="20"/>
          <w:color w:val="auto"/>
        </w:rPr>
      </w:pPr>
      <w:r>
        <w:rPr>
          <w:rFonts w:ascii="Times New Roman" w:cs="Times New Roman" w:eastAsia="Times New Roman" w:hAnsi="Times New Roman"/>
          <w:sz w:val="18"/>
          <w:szCs w:val="18"/>
          <w:color w:val="auto"/>
        </w:rPr>
        <w:t>Income from operations was $4.0 million in the current year quarter compared to $4.4 million in the prior year quarter as an increase in engineering, selling and administrative expenses was partially offset by an increase in gross margin dollars, all as discussed above.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39" w:right="279"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8"/>
          <w:szCs w:val="18"/>
          <w:color w:val="auto"/>
        </w:rPr>
        <w:t>The equity earnings (loss) of joint ventures was comprised of the following in the current year quarter and prior year quarter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Vehicle Access Systems Technology LLC</w:t>
            </w:r>
          </w:p>
        </w:tc>
        <w:tc>
          <w:tcPr>
            <w:tcW w:w="21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STRATTEC Advanced Logic, LLC</w:t>
            </w: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Lower profitability of our Vehicle Access Systems Technology LLC (“VAST LLC”) joint ventures is due to lower net sales and higher development costs for new programs at our VAST China operation and start-up costs for our new plant operation in Jingzhou, China. Our VAST LLC joint venture in Brazil continues to report losses due to our limited amount of business in that region. STRATTEC is not the primary beneficiary and does not control STRATTEC Advanced Logic, LLC (“SAL LLC”). Accordingly, our investment in SAL LLC is accounted for using the equity method. During all periods presented in this report, 100 percent of the funding for SAL LLC was being made through loans from STRATTEC to SAL LLC. Therefore, during all periods presented in this report, even though STRATTEC maintains a 51 percent ownership interest in SAL LLC, STRATTEC recognized 100 percent of the losses of SAL LLC up to our committed financial support. The business of SAL LLC has been wound down to sell only commercial biometric locks.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Included in Other Income (Expense), net in the current year quarter and prior year quarter were the following items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Peso Forward Contracts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Peso Forward Contracts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Plans (Cost) Credit</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Rabbi Trust Gain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Foreign currency transaction losses during the current year quarter and prior year quarter resulted from activity associated with foreign denominated assets held by our Mexican subsidiaries. We entered into the Mexican peso currency forward contracts to minimize earnings volatility resulting from changes in exchange rates affecting the U.S. dollar cost of our Mexican operations. Unrealized gains and losses on the peso forward contracts recognized as a result of mark-to-market adjustments as of March 31, 2019 may or may not be realized in future periods, depending on the actual Mexican peso to U.S. dollar exchange rates experienced during the balance of the contract period. Pension and postretirement plan impacts include the components of net periodic benefit cost other than the service cost component. Our Rabbi Trust assets fund our amended and restated supplemental executive retirement plan. The investments held in the Trust are considered trading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577"/>
        <w:spacing w:after="0" w:line="255" w:lineRule="auto"/>
        <w:rPr>
          <w:sz w:val="20"/>
          <w:szCs w:val="20"/>
          <w:color w:val="auto"/>
        </w:rPr>
      </w:pPr>
      <w:r>
        <w:rPr>
          <w:rFonts w:ascii="Times New Roman" w:cs="Times New Roman" w:eastAsia="Times New Roman" w:hAnsi="Times New Roman"/>
          <w:sz w:val="18"/>
          <w:szCs w:val="18"/>
          <w:color w:val="auto"/>
        </w:rPr>
        <w:t>Our income tax provision for the three month period ended April 1, 2018 was impacted by the Tax Cuts and Jobs Act of 2017 (“the Act”), which was signed into law on December 22, 2017 with an effective date of January 1, 2018. The Act made broad and complex changes to the U.S. tax code that affected our tax provision beginning January 1, 2018, including but not limited to (1) a reduction in the U.S. statutory tax rate to 21 percent following its effective date and a change in the measurement of our deferred tax assets and deferred tax liabilities resulting from the reduction in the statutory rate, (2) requiring a one-time transition tax on certain deemed repatriated earnings of foreign subsidiaries that is payable over eight years, and (3) bonus depreciation that will allow for full expensing of qualified property. Section 15 of the Internal Revenue Code stipulates that for our fiscal year ended July 1, 2018, a blended statutory corporate tax rate of 28% was applicable, which was based on the applicable statutory rates before and after the effective date of the Act and the number of days in our fiscal year.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2" w:name="page23"/>
    <w:bookmarkEnd w:id="22"/>
    <w:p>
      <w:pPr>
        <w:ind w:right="120" w:firstLine="588"/>
        <w:spacing w:after="0" w:line="256" w:lineRule="auto"/>
        <w:rPr>
          <w:sz w:val="20"/>
          <w:szCs w:val="20"/>
          <w:color w:val="auto"/>
        </w:rPr>
      </w:pPr>
      <w:r>
        <w:rPr>
          <w:rFonts w:ascii="Times New Roman" w:cs="Times New Roman" w:eastAsia="Times New Roman" w:hAnsi="Times New Roman"/>
          <w:sz w:val="18"/>
          <w:szCs w:val="18"/>
          <w:color w:val="auto"/>
        </w:rPr>
        <w:t>The SEC staff issued SAB 118, which provides guidance on accounting for the tax effects of the Act. SAB 118 provides a measurement period that should not extend beyond one year from the Act’s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Act is incomplete but the company is able to determine a reasonable estimate, it must record a provisional estimate in the financial statements. If a company cannot determine a provisional estimate to be included in the financial statements, it should continue to apply ASC 740 on the basis of the provision of the tax laws that were in effect immediately before the enactment of the Act.</w:t>
      </w:r>
    </w:p>
    <w:p>
      <w:pPr>
        <w:spacing w:after="0" w:line="188" w:lineRule="exact"/>
        <w:rPr>
          <w:sz w:val="20"/>
          <w:szCs w:val="20"/>
          <w:color w:val="auto"/>
        </w:rPr>
      </w:pPr>
    </w:p>
    <w:p>
      <w:pPr>
        <w:ind w:right="40" w:firstLine="588"/>
        <w:spacing w:after="0" w:line="256" w:lineRule="auto"/>
        <w:rPr>
          <w:sz w:val="20"/>
          <w:szCs w:val="20"/>
          <w:color w:val="auto"/>
        </w:rPr>
      </w:pPr>
      <w:r>
        <w:rPr>
          <w:rFonts w:ascii="Times New Roman" w:cs="Times New Roman" w:eastAsia="Times New Roman" w:hAnsi="Times New Roman"/>
          <w:sz w:val="18"/>
          <w:szCs w:val="18"/>
          <w:color w:val="auto"/>
        </w:rPr>
        <w:t>In connection with our analysis of the impact of the Act, we recorded a discrete net tax benefit of $309,000 for the three month period ended April 1, 2018. This net tax benefit primarily consisted of (1) the impact of the change in measurement of our deferred tax assets and liabilities, (2) the one-time transition tax on non-previously taxed post 1986 accumulated foreign earnings, and (3) the impact of changing our annualized effective tax rate. For various reasons that are discussed more fully below, we did not complete our accounting for the income tax effects for certain elements of the Act as of December 31, 2017. However, we were able to make reasonable estimates of certain effects and, therefore, recorded provisional adjustments of these elements during the three month period ended December 31, 2017. We identified these items as provisional since our analysis of the items was not complete.</w:t>
      </w:r>
    </w:p>
    <w:p>
      <w:pPr>
        <w:spacing w:after="0" w:line="188" w:lineRule="exact"/>
        <w:rPr>
          <w:sz w:val="20"/>
          <w:szCs w:val="20"/>
          <w:color w:val="auto"/>
        </w:rPr>
      </w:pPr>
    </w:p>
    <w:p>
      <w:pPr>
        <w:ind w:left="1080" w:right="200" w:firstLine="391"/>
        <w:spacing w:after="0" w:line="261" w:lineRule="auto"/>
        <w:rPr>
          <w:sz w:val="20"/>
          <w:szCs w:val="20"/>
          <w:color w:val="auto"/>
        </w:rPr>
      </w:pPr>
      <w:r>
        <w:rPr>
          <w:rFonts w:ascii="Times New Roman" w:cs="Times New Roman" w:eastAsia="Times New Roman" w:hAnsi="Times New Roman"/>
          <w:sz w:val="18"/>
          <w:szCs w:val="18"/>
          <w:color w:val="auto"/>
        </w:rPr>
        <w:t>The Act reduced the corporate tax rate to 21 percent, effective January 1, 2018. For certain of our net deferred tax assets, we recorded a provisional adjustment to reflect the reduction in the corporate tax rate. While we are able to make a reasonable estimate of the impact of the reduction in the corporate rate, it may be affected by other analyses related to the Act, including, but not limited to, the impact of our calculation of deemed repatriation of deferred foreign income and the impact of full expensing for certain assets.</w:t>
      </w:r>
    </w:p>
    <w:p>
      <w:pPr>
        <w:spacing w:after="0" w:line="207" w:lineRule="exact"/>
        <w:rPr>
          <w:sz w:val="20"/>
          <w:szCs w:val="20"/>
          <w:color w:val="auto"/>
        </w:rPr>
      </w:pPr>
    </w:p>
    <w:p>
      <w:pPr>
        <w:ind w:left="1080" w:right="120" w:firstLine="391"/>
        <w:spacing w:after="0" w:line="256" w:lineRule="auto"/>
        <w:rPr>
          <w:sz w:val="20"/>
          <w:szCs w:val="20"/>
          <w:color w:val="auto"/>
        </w:rPr>
      </w:pPr>
      <w:r>
        <w:rPr>
          <w:rFonts w:ascii="Times New Roman" w:cs="Times New Roman" w:eastAsia="Times New Roman" w:hAnsi="Times New Roman"/>
          <w:sz w:val="18"/>
          <w:szCs w:val="18"/>
          <w:color w:val="auto"/>
        </w:rPr>
        <w:t>The Deemed Repatriation Transition Tax (“Transition Tax”) is a tax on previously untaxed accumulated and current earnings and profits (E&amp;P) of certain of our foreign subsidiaries. To determine the amount of the Transition Tax, in addition to other factors, the amount of post-1986 E&amp;P of the relevant subsidiaries must be determined, as well as the amount of non-U.S. income taxes paid on such earnings. We were able to make a reasonable estimate of the Transition Tax and recorded a provisional Transition Tax obligation in the accompanying condensed financial statements for the three months ended December 31, 2017. However, as of December 31, 2017, additional information needed to be gathered to more precisely compute the amount of the Transition Tax.</w:t>
      </w:r>
    </w:p>
    <w:p>
      <w:pPr>
        <w:spacing w:after="0" w:line="188" w:lineRule="exact"/>
        <w:rPr>
          <w:sz w:val="20"/>
          <w:szCs w:val="20"/>
          <w:color w:val="auto"/>
        </w:rPr>
      </w:pPr>
    </w:p>
    <w:p>
      <w:pPr>
        <w:ind w:left="1060" w:firstLine="391"/>
        <w:spacing w:after="0" w:line="261" w:lineRule="auto"/>
        <w:rPr>
          <w:sz w:val="20"/>
          <w:szCs w:val="20"/>
          <w:color w:val="auto"/>
        </w:rPr>
      </w:pPr>
      <w:r>
        <w:rPr>
          <w:rFonts w:ascii="Times New Roman" w:cs="Times New Roman" w:eastAsia="Times New Roman" w:hAnsi="Times New Roman"/>
          <w:sz w:val="18"/>
          <w:szCs w:val="18"/>
          <w:color w:val="auto"/>
        </w:rPr>
        <w:t>We were required to assess whether our valuation allowance analyses was affected by various aspects of the Act (e.g., deemed repatriation of deferred foreign income, Global Intangible Low-Taxed Income (“GILTI”) inclusions, and new categories of Foreign Tax Credits). Since, as discussed herein, we recorded provisional amounts related to certain portions of the Act, any corresponding determination of the need for, or change in, a valuation allowance was also provisional.</w:t>
      </w:r>
    </w:p>
    <w:p>
      <w:pPr>
        <w:spacing w:after="0" w:line="180" w:lineRule="exact"/>
        <w:rPr>
          <w:sz w:val="20"/>
          <w:szCs w:val="20"/>
          <w:color w:val="auto"/>
        </w:rPr>
      </w:pPr>
    </w:p>
    <w:p>
      <w:pPr>
        <w:ind w:right="260" w:firstLine="571"/>
        <w:spacing w:after="0" w:line="282" w:lineRule="auto"/>
        <w:rPr>
          <w:sz w:val="20"/>
          <w:szCs w:val="20"/>
          <w:color w:val="auto"/>
        </w:rPr>
      </w:pPr>
      <w:r>
        <w:rPr>
          <w:rFonts w:ascii="Times New Roman" w:cs="Times New Roman" w:eastAsia="Times New Roman" w:hAnsi="Times New Roman"/>
          <w:sz w:val="18"/>
          <w:szCs w:val="18"/>
          <w:color w:val="auto"/>
        </w:rPr>
        <w:t>As of December 30, 2018, we had completed our accounting for all income tax elements of the Act. No measurement period adjustments related to the Act were recorded in the three month period ended March 31, 2019.</w:t>
      </w:r>
    </w:p>
    <w:p>
      <w:pPr>
        <w:spacing w:after="0" w:line="162"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Our income tax provision for the three month periods ended March 31, 2019 was impacted by a reduction in the expected effective tax rate as compared to the prior year period. The expected annual effective tax rate between our fiscal 2019 and 2018 years decreased to approximately 10.7 percent as of March 2019 from approximately 20.6 percent as of March 2018 due to the reduction in the U.S. statutory rate between years and changes in the U.S. taxation of non-U.S. earnings.</w:t>
      </w:r>
    </w:p>
    <w:p>
      <w:pPr>
        <w:spacing w:after="0" w:line="180" w:lineRule="exact"/>
        <w:rPr>
          <w:sz w:val="20"/>
          <w:szCs w:val="20"/>
          <w:color w:val="auto"/>
        </w:rPr>
      </w:pPr>
    </w:p>
    <w:p>
      <w:pPr>
        <w:ind w:right="320" w:firstLine="571"/>
        <w:spacing w:after="0" w:line="266" w:lineRule="auto"/>
        <w:rPr>
          <w:sz w:val="20"/>
          <w:szCs w:val="20"/>
          <w:color w:val="auto"/>
        </w:rPr>
      </w:pPr>
      <w:r>
        <w:rPr>
          <w:rFonts w:ascii="Times New Roman" w:cs="Times New Roman" w:eastAsia="Times New Roman" w:hAnsi="Times New Roman"/>
          <w:sz w:val="18"/>
          <w:szCs w:val="18"/>
          <w:color w:val="auto"/>
        </w:rPr>
        <w:t>Additionally, our income tax provisions for the three month periods ended March 31, 2019 and April 1, 2018 were affected by the non-controlling interest portion of our pre-tax income. The non-controlling interest impacts the effective tax rate as ADAC-STRATTEC LLC and STRATTEC POWER ACCESS LLC entities are taxed as partnerships for U.S.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March 31, 2019 compared to the nine months ended April 1, 2018</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28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Net Sales (in millions)</w:t>
            </w:r>
          </w:p>
        </w:tc>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920" w:type="dxa"/>
            <w:vAlign w:val="bottom"/>
            <w:vMerge w:val="continue"/>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358.3</w:t>
            </w:r>
          </w:p>
        </w:tc>
        <w:tc>
          <w:tcPr>
            <w:tcW w:w="1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9"/>
        </w:trPr>
        <w:tc>
          <w:tcPr>
            <w:tcW w:w="3920" w:type="dxa"/>
            <w:vAlign w:val="bottom"/>
          </w:tcPr>
          <w:p>
            <w:pPr>
              <w:spacing w:after="0"/>
              <w:rPr>
                <w:sz w:val="24"/>
                <w:szCs w:val="24"/>
                <w:color w:val="auto"/>
              </w:rPr>
            </w:pPr>
          </w:p>
        </w:tc>
        <w:tc>
          <w:tcPr>
            <w:tcW w:w="37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8"/>
          <w:szCs w:val="18"/>
          <w:color w:val="auto"/>
        </w:rPr>
        <w:t>Net sales to each of our customers or customer groups in the current year period and prior year period were as follows (in millions):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39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Fiat Chrysler Automobiles</w:t>
            </w:r>
          </w:p>
        </w:tc>
        <w:tc>
          <w:tcPr>
            <w:tcW w:w="2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500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OEM Customers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Hyundai / Kia</w:t>
            </w: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Sales to Fiat Chrysler Automobiles increased in the current year period as compared to the prior year period due to higher product content on the components we supply on certain vehicles, in particular the Ram pickup truck. The increase in sales to General Motors Company in the current year period as compared to the prior year period was attributed to higher vehicle production volumes and content on models for which we supply components, in particular power access products and latches. Sales to Ford Motor Company decreased in the current year period as compared to the prior year period due to a combination of discontinued models and lower production volumes on the vehicles for which we supply components. Sales to Tier 1 Customers increased in the current year period as compared to the prior year period due to higher production volumes of our door handle and component products. Sales to Commercial and Other OEM Customers during the current year period increased in comparison to the prior year period due to new door handle customer programs at Honda of America Manufacturing, Inc. and Volkswagen. These Commercial and Other OEM Customers, along with our Tier 1 Customers, represent purchasers of vehicle access control products, such as latches, fobs, driver controls and door handles that we have developed in recent years to complement our historic core business of locks and keys. The increase in sales to Hyundai / Kia in the current year period as compared to the prior year period was due to higher levels of production of the Kia Sedona minivan for which we supply primarily power sliding door components.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28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Goods Sold (in millions)</w:t>
            </w:r>
          </w:p>
        </w:tc>
        <w:tc>
          <w:tcPr>
            <w:tcW w:w="2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472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314.7</w:t>
            </w:r>
          </w:p>
        </w:tc>
        <w:tc>
          <w:tcPr>
            <w:tcW w:w="1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Direct material costs are the most significant component of our cost of goods sold and comprised $207.7 million or 66.0 percent of our cost of goods sold in the current year period compared to $179.9 million or 64.0 percent of our cost of goods sold in the prior year period. The increase in our direct material costs between these periods of $27.8 million or 15.5 percent was due to increased sales volumes in the current year period as compared to the prior year period. The increase in our direct material costs as a percentage of our cost of goods sold in the current year period as compared to the prior year period was due to increased nonconforming costs resulting from internal manufacturing process quality issues incurred in the current year period as compared to the prior year period and an increase in sales of products for certain electrical and latch programs in the current year period over the prior year period, for which the direct material content represents a more significant portion of the total cost of the product. This trend is expected to continue for the remainder of our fiscal year 2019.</w:t>
      </w:r>
    </w:p>
    <w:p>
      <w:pPr>
        <w:spacing w:after="0" w:line="185"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The remaining components of our cost of goods sold consist of labor and overhead costs which increased $5.7 million or 5.6 percent to $107.0 million in the current year period from $101.3 million in the prior year period as the variable portion of these costs increased due to the increase in sales volumes between the nine month periods. Additionally, an increase in the Mexican minimum wage for our Mexican workforce effective January 1, 2019, higher expediting costs associated with new product launches occurring during the current year period to meet certain customer schedules, in particular in connection with our door handle paint and assembly facility in Leon, Mexico, and higher than expected production costs at our door handle paint and assembly facility in Leon, Mexico, increased costs in the current year period as compared to the prior year period. These cost increases were partially offset by a favorable product sales mix, which included increased sales of our door handle and exterior trim and power access products, and the impact of a favorable Mexican peso to U.S. dollar exchange rate affecting our operations in Mexico. The U.S. dollar value of our Mexican operations was favorably impacted by approximately $2.1 million in the current year period as compared to the prior year period due to a favorable Mexican peso to U.S. dollar exchange rate between these year to date periods. The average U.S. dollar / Mexican peso exchange rate increased to approximately 19.36 pesos to the dollar in the current year period from approximately 18.54 pesos to the dollar in the prior year period.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tbl>
      <w:tblPr>
        <w:tblLayout w:type="fixed"/>
        <w:tblInd w:w="5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36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center"/>
              <w:ind w:right="39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(in millions)</w:t>
            </w: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0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9"/>
                <w:szCs w:val="19"/>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8"/>
              </w:rPr>
              <w:t>12.8%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increase in gross profit dollars in the current year period as compared to the prior year period was attributed to the increase in sales, partially offset by the increase in cost of goods sold as discussed above. Gross profit as a percentage of net sales decreased between periods. The current year period gross profit as a percentage of net sales was negatively impacted by customer price reductions, an increase in the Mexican minimum wage, higher expediting costs associated with new product launches, and higher than expected production costs at our door handle paint and assembly facility in Leon, Mexico, as well as lower gross profit margins on products associated with certain new electrical, latch and lockset programs, which were implemented during the twelve month period ending March 31, 2019. The lower gross margins associated with these programs is the result of competitive pricing. These unfavorable impacts were partially offset by the impact of a favorable product sales mix and a favorable Mexican peso to U.S. dollar exchange rate impacting the U.S. dollar value of our Mexican operations, as discussed above.</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Engineering, selling and administrative expenses in the current year period and prior year period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right"/>
              <w:ind w:right="39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Expenses (in millions)</w:t>
            </w:r>
          </w:p>
        </w:tc>
        <w:tc>
          <w:tcPr>
            <w:tcW w:w="2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2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9"/>
                <w:szCs w:val="19"/>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Expenses as a percentage of net sales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571"/>
        <w:spacing w:after="0" w:line="261" w:lineRule="auto"/>
        <w:rPr>
          <w:sz w:val="20"/>
          <w:szCs w:val="20"/>
          <w:color w:val="auto"/>
        </w:rPr>
      </w:pPr>
      <w:r>
        <w:rPr>
          <w:rFonts w:ascii="Times New Roman" w:cs="Times New Roman" w:eastAsia="Times New Roman" w:hAnsi="Times New Roman"/>
          <w:sz w:val="18"/>
          <w:szCs w:val="18"/>
          <w:color w:val="auto"/>
        </w:rPr>
        <w:t>Engineering, selling and administrative expenses increased during the current year period as compared to the prior year period. The current year period as compared to the prior year period included an increase in outside expenditures on new product development costs associated with utilizing third party vendors for a portion of our development work and an increase in engineering costs related to our ADAC-STRATTEC LLC door handle and exterior trim products. The expenses decreased as a percentage of net sales due to the increase in sales between quarters as previously discussed.</w:t>
      </w:r>
    </w:p>
    <w:p>
      <w:pPr>
        <w:spacing w:after="0" w:line="180"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Income from operations was $10.4 million in the current year period compared to $10.3 million as the period over period increase in the gross profit margin was offset by an increase in engineering, selling and administrative expenses in the current year period as compared to the prior year period, all as discussed above.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equity earnings (loss) of joint ventures was comprised of the following in the current year period and prior year period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Vehicle Access Systems Technology LLC</w:t>
            </w:r>
          </w:p>
        </w:tc>
        <w:tc>
          <w:tcPr>
            <w:tcW w:w="2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STRATTEC Advanced Logic, LLC</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71"/>
        <w:spacing w:after="0" w:line="256" w:lineRule="auto"/>
        <w:rPr>
          <w:sz w:val="20"/>
          <w:szCs w:val="20"/>
          <w:color w:val="auto"/>
        </w:rPr>
      </w:pPr>
      <w:r>
        <w:rPr>
          <w:rFonts w:ascii="Times New Roman" w:cs="Times New Roman" w:eastAsia="Times New Roman" w:hAnsi="Times New Roman"/>
          <w:sz w:val="18"/>
          <w:szCs w:val="18"/>
          <w:color w:val="auto"/>
        </w:rPr>
        <w:t>Our VAST LLC joint ventures in China and India continue to report profitable operating results while our joint venture in Brazil continues to report losses due to our limited amount of business in that region. STRATTEC is not the primary beneficiary and does not control SAL LLC. Accordingly, our investment in SAL LLC is accounted for using the equity method. During all periods presented in this report, 100 percent of the funding for SAL LLC was being made through loans from STRATTEC to SAL LLC. Therefore, during all periods presented in this report, even though STRATTEC maintains a 51 percent ownership interest in SAL LLC, STRATTEC recognized 100 percent of the losses of SAL LLC up to our committed financial support. The business of SAL LLC has been wound down to sell only commercial biometric locks.</w:t>
      </w:r>
    </w:p>
    <w:p>
      <w:pPr>
        <w:spacing w:after="0" w:line="188" w:lineRule="exact"/>
        <w:rPr>
          <w:sz w:val="20"/>
          <w:szCs w:val="20"/>
          <w:color w:val="auto"/>
        </w:rPr>
      </w:pPr>
    </w:p>
    <w:p>
      <w:pPr>
        <w:ind w:firstLine="761"/>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30, 2018, we completed a substantial portion of terminating our qualified pension plan that was frozen on December 31, 2009. As a result of the termination, a non-cash pre-tax pension settlement charge of $32.4 million was recorded during the current year period. A remaining non-cash compensation expense charge of approximately $8 million is expected to be recorded in future periods when the Qualified Pension Plan is fully terminated and the excess Plan assets are transferred to a STRATTEC defined contribution plan and subsequently paid out.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8"/>
          <w:szCs w:val="18"/>
          <w:color w:val="auto"/>
        </w:rPr>
        <w:t>Included in Other Income (Expense), net in the current year period and prior year period were the following items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274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Borders>
              <w:top w:val="single" w:sz="8" w:color="auto"/>
            </w:tcBorders>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Peso Forward Contracts</w:t>
            </w: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Peso Forward Contracts</w:t>
            </w: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Plans (Cost) Credit</w:t>
            </w: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Rabbi Trust Gain</w:t>
            </w: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Foreign currency transaction losses during the current year period and prior year period resulted from activity associated with foreign denominated assets held by our Mexican subsidiaries. We entered into the Mexican peso currency forward contracts to minimize earnings volatility resulting from changes in exchange rates affecting the U.S. dollar cost of our Mexican operations. Unrealized gains and losses on the peso forward contracts recognized as a result of mark-to-market adjustments as of March 31, 2019 may or may not be realized in future periods, depending on the actual Mexican peso to U.S. dollar exchange rates experienced during the balance of the contract period. Pension and postretirement plan impacts include the components of net periodic benefit cost other than the service cost component. Our Rabbi Trust assets fund our amended and restated supplemental executive retirement plan. The investments held in the Trust are considered trading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77"/>
        <w:spacing w:after="0" w:line="255" w:lineRule="auto"/>
        <w:rPr>
          <w:sz w:val="20"/>
          <w:szCs w:val="20"/>
          <w:color w:val="auto"/>
        </w:rPr>
      </w:pPr>
      <w:r>
        <w:rPr>
          <w:rFonts w:ascii="Times New Roman" w:cs="Times New Roman" w:eastAsia="Times New Roman" w:hAnsi="Times New Roman"/>
          <w:sz w:val="18"/>
          <w:szCs w:val="18"/>
          <w:color w:val="auto"/>
        </w:rPr>
        <w:t>Our income tax provision for the nine month periods ended April 1, 2018 was impacted by the Tax Cuts and Jobs Act of 2017 (“the Act”), which was signed into law on December 22, 2017 with an effective date of January 1, 2018. The Act made broad and complex changes to the U.S. tax code that affected our tax provision beginning January 1, 2018, including but not limited to (1) a reduction in the U.S. statutory tax rate to 21 percent following its effective date and a change in the measurement of our deferred tax assets and deferred tax liabilities resulting from the reduction in the statutory rate, (2) requiring a one-time transition tax on certain deemed repatriated earnings of foreign subsidiaries that is payable over eight years, and (3) bonus depreciation that will allow for full expensing of qualified property. Section 15 of the Internal Revenue Code stipulates that for our fiscal year ended July 1, 2018, a blended statutory corporate tax rate of 28% was applicable, which was based on the applicable statutory rates before and after the effective date of the Act and the number of days in our fiscal year.</w:t>
      </w:r>
    </w:p>
    <w:p>
      <w:pPr>
        <w:spacing w:after="0" w:line="185" w:lineRule="exact"/>
        <w:rPr>
          <w:sz w:val="20"/>
          <w:szCs w:val="20"/>
          <w:color w:val="auto"/>
        </w:rPr>
      </w:pPr>
    </w:p>
    <w:p>
      <w:pPr>
        <w:ind w:right="80" w:firstLine="588"/>
        <w:spacing w:after="0" w:line="256" w:lineRule="auto"/>
        <w:rPr>
          <w:sz w:val="20"/>
          <w:szCs w:val="20"/>
          <w:color w:val="auto"/>
        </w:rPr>
      </w:pPr>
      <w:r>
        <w:rPr>
          <w:rFonts w:ascii="Times New Roman" w:cs="Times New Roman" w:eastAsia="Times New Roman" w:hAnsi="Times New Roman"/>
          <w:sz w:val="18"/>
          <w:szCs w:val="18"/>
          <w:color w:val="auto"/>
        </w:rPr>
        <w:t>The SEC staff issued SAB 118, which provides guidance on accounting for the tax effects of the Act. SAB 118 provides a measurement period that should not extend beyond one year from the Act’s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Act is incomplete but the company is able to determine a reasonable estimate, it must record a provisional estimate in the financial statements. If a company cannot determine a provisional estimate to be included in the financial statements, it should continue to apply ASC 740 on the basis of the provision of the tax laws that were in effect immediately before the enactment of the Act.</w:t>
      </w:r>
    </w:p>
    <w:p>
      <w:pPr>
        <w:spacing w:after="0" w:line="188" w:lineRule="exact"/>
        <w:rPr>
          <w:sz w:val="20"/>
          <w:szCs w:val="20"/>
          <w:color w:val="auto"/>
        </w:rPr>
      </w:pPr>
    </w:p>
    <w:p>
      <w:pPr>
        <w:ind w:right="100" w:firstLine="588"/>
        <w:spacing w:after="0" w:line="256" w:lineRule="auto"/>
        <w:rPr>
          <w:sz w:val="20"/>
          <w:szCs w:val="20"/>
          <w:color w:val="auto"/>
        </w:rPr>
      </w:pPr>
      <w:r>
        <w:rPr>
          <w:rFonts w:ascii="Times New Roman" w:cs="Times New Roman" w:eastAsia="Times New Roman" w:hAnsi="Times New Roman"/>
          <w:sz w:val="18"/>
          <w:szCs w:val="18"/>
          <w:color w:val="auto"/>
        </w:rPr>
        <w:t>In connection with our analysis of the impact of the Act, we recorded a discrete net tax benefit of $854,000 for the nine month period ended April 1, 2018. This net tax benefit primarily consisted of (1) the impact of the change in measurement of our deferred tax assets and liabilities, (2) the one-time transition tax on non-previously taxed post 1986 accumulated foreign earnings, and (3) the impact of changing our annualized effective tax rate. For various reasons that are discussed more fully below, we did not complete our accounting for the income tax effects for certain elements of the Act as of April 1, 2018. However, we were able to make reasonable estimates of certain effects and, therefore, recorded provisional adjustments of these elements during the nine month period ended April 1, 2018. We identified these items as provisional since our analysis of the items was not complete.</w:t>
      </w:r>
    </w:p>
    <w:p>
      <w:pPr>
        <w:spacing w:after="0" w:line="188" w:lineRule="exact"/>
        <w:rPr>
          <w:sz w:val="20"/>
          <w:szCs w:val="20"/>
          <w:color w:val="auto"/>
        </w:rPr>
      </w:pPr>
    </w:p>
    <w:p>
      <w:pPr>
        <w:ind w:left="1080" w:right="160" w:firstLine="391"/>
        <w:spacing w:after="0" w:line="261" w:lineRule="auto"/>
        <w:rPr>
          <w:sz w:val="20"/>
          <w:szCs w:val="20"/>
          <w:color w:val="auto"/>
        </w:rPr>
      </w:pPr>
      <w:r>
        <w:rPr>
          <w:rFonts w:ascii="Times New Roman" w:cs="Times New Roman" w:eastAsia="Times New Roman" w:hAnsi="Times New Roman"/>
          <w:sz w:val="18"/>
          <w:szCs w:val="18"/>
          <w:color w:val="auto"/>
        </w:rPr>
        <w:t>The Act reduced the corporate tax rate to 21 percent, effective January 1, 2018. For certain of our net deferred tax assets, we recorded a provisional adjustment to reflect the reduction in the corporate tax rate. While we are able to make a reasonable estimate of the impact of the reduction in the corporate rate, it may be affected by other analyses related to the Act, including, but not limited to, the impact of our calculation of deemed repatriation of deferred foreign income and the impact of full expensing for certain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6" w:name="page27"/>
    <w:bookmarkEnd w:id="26"/>
    <w:p>
      <w:pPr>
        <w:ind w:left="1080" w:right="120" w:firstLine="391"/>
        <w:spacing w:after="0" w:line="256" w:lineRule="auto"/>
        <w:rPr>
          <w:sz w:val="20"/>
          <w:szCs w:val="20"/>
          <w:color w:val="auto"/>
        </w:rPr>
      </w:pPr>
      <w:r>
        <w:rPr>
          <w:rFonts w:ascii="Times New Roman" w:cs="Times New Roman" w:eastAsia="Times New Roman" w:hAnsi="Times New Roman"/>
          <w:sz w:val="18"/>
          <w:szCs w:val="18"/>
          <w:color w:val="auto"/>
        </w:rPr>
        <w:t>The Deemed Repatriation Transition Tax (“Transition Tax”) is a tax on previously untaxed accumulated and current earnings and profits (E&amp;P) of certain of our foreign subsidiaries. To determine the amount of the Transition Tax, in addition to other factors, the amount of post-1986 E&amp;P of the relevant subsidiaries must be determined, as well as the amount of non-U.S. income taxes paid on such earnings. We were able to make a reasonable estimate of the Transition Tax and recorded a provisional Transition Tax obligation in the accompanying condensed financial statements for the nine months ended April 1, 2018. However, as of April 1, 2018, additional information needed to be gathered to more precisely compute the amount of the Transition Tax.</w:t>
      </w:r>
    </w:p>
    <w:p>
      <w:pPr>
        <w:spacing w:after="0" w:line="188" w:lineRule="exact"/>
        <w:rPr>
          <w:sz w:val="20"/>
          <w:szCs w:val="20"/>
          <w:color w:val="auto"/>
        </w:rPr>
      </w:pPr>
    </w:p>
    <w:p>
      <w:pPr>
        <w:ind w:left="1060" w:firstLine="391"/>
        <w:spacing w:after="0" w:line="261" w:lineRule="auto"/>
        <w:rPr>
          <w:sz w:val="20"/>
          <w:szCs w:val="20"/>
          <w:color w:val="auto"/>
        </w:rPr>
      </w:pPr>
      <w:r>
        <w:rPr>
          <w:rFonts w:ascii="Times New Roman" w:cs="Times New Roman" w:eastAsia="Times New Roman" w:hAnsi="Times New Roman"/>
          <w:sz w:val="18"/>
          <w:szCs w:val="18"/>
          <w:color w:val="auto"/>
        </w:rPr>
        <w:t>We were required to assess whether our valuation allowance analyses was affected by various aspects of the Act (e.g., deemed repatriation of deferred foreign income, Global Intangible Low-Taxed Income (“GILTI”) inclusions, and new categories of Foreign Tax Credits). Since, as discussed herein, we recorded provisional amounts related to certain portions of the Act, any corresponding determination of the need for, or change in, a valuation allowance was also provisional.</w:t>
      </w:r>
    </w:p>
    <w:p>
      <w:pPr>
        <w:spacing w:after="0" w:line="180"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As of December 30, 2018, we had completed our accounting for all income tax elements of the Act. Measurement period adjustments related to the Act recorded in the nine month period ended March 31, 2019 totaled $372,000.</w:t>
      </w:r>
    </w:p>
    <w:p>
      <w:pPr>
        <w:spacing w:after="0" w:line="162"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Our income tax provision for the nine month period ended March 31, 2019 was impacted by a $7.9 million tax benefit resulting from the termination of our qualified, noncontributory defined benefit pension plan as discussed under Pension and Postretirement Benefits below and a reduction in the expected effective tax rate as compared to the prior year period. Our income tax provision for the nine month period ended March 31, 2019 was also impacted by a discrete benefit of $372,000, which represents measurement period adjustments to the one-time transition tax on non-previously taxed post 1986 accumulated foreign earnings. The expected annual effective tax rate between our fiscal 2019 and 2018 years decreased to approximately 10.7 percent as of March 2019 from approximately 20.6 percent as March 2018 due to the reduction in the U.S. statutory rate between years and changes in the U.S. taxation of non-U.S. earnings.</w:t>
      </w:r>
    </w:p>
    <w:p>
      <w:pPr>
        <w:spacing w:after="0" w:line="189" w:lineRule="exact"/>
        <w:rPr>
          <w:sz w:val="20"/>
          <w:szCs w:val="20"/>
          <w:color w:val="auto"/>
        </w:rPr>
      </w:pPr>
    </w:p>
    <w:p>
      <w:pPr>
        <w:ind w:right="380" w:firstLine="571"/>
        <w:spacing w:after="0" w:line="266" w:lineRule="auto"/>
        <w:rPr>
          <w:sz w:val="20"/>
          <w:szCs w:val="20"/>
          <w:color w:val="auto"/>
        </w:rPr>
      </w:pPr>
      <w:r>
        <w:rPr>
          <w:rFonts w:ascii="Times New Roman" w:cs="Times New Roman" w:eastAsia="Times New Roman" w:hAnsi="Times New Roman"/>
          <w:sz w:val="18"/>
          <w:szCs w:val="18"/>
          <w:color w:val="auto"/>
        </w:rPr>
        <w:t>Additionally, our income tax provisions for the nine month periods ended March 31, 2019 and April 1, 2018 were affected by the non-controlling interest portion of our pre-tax income. The non-controlling interest impacts the effective tax rate as ADAC-STRATTEC LLC and STRATTEC POWER ACCESS LLC entities are taxed as partnerships for U.S. tax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Receivable Balances from Major Customers</w:t>
      </w:r>
    </w:p>
    <w:p>
      <w:pPr>
        <w:spacing w:after="0" w:line="121" w:lineRule="exact"/>
        <w:rPr>
          <w:sz w:val="20"/>
          <w:szCs w:val="20"/>
          <w:color w:val="auto"/>
        </w:rPr>
      </w:pPr>
    </w:p>
    <w:p>
      <w:pPr>
        <w:ind w:right="140" w:firstLine="571"/>
        <w:spacing w:after="0" w:line="261" w:lineRule="auto"/>
        <w:rPr>
          <w:sz w:val="20"/>
          <w:szCs w:val="20"/>
          <w:color w:val="auto"/>
        </w:rPr>
      </w:pPr>
      <w:r>
        <w:rPr>
          <w:rFonts w:ascii="Times New Roman" w:cs="Times New Roman" w:eastAsia="Times New Roman" w:hAnsi="Times New Roman"/>
          <w:sz w:val="18"/>
          <w:szCs w:val="18"/>
          <w:color w:val="auto"/>
        </w:rPr>
        <w:t>Our primary source of cash flow is from our major customers, which include Fiat Chrysler Automobiles, General Motors Company and Ford Motor Company. As of the date of filing this Form 10-Q with the Securities and Exchange Commission, all of our major customers are making payments on their outstanding accounts receivable in accordance with the payment terms included on their purchase orders. A summary of our outstanding receivable balances from our major customers as of March 31, 2019 was as follows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Fiat Chrysler Automobiles</w:t>
            </w:r>
          </w:p>
        </w:tc>
        <w:tc>
          <w:tcPr>
            <w:tcW w:w="2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Balances in Mexico</w:t>
      </w:r>
    </w:p>
    <w:p>
      <w:pPr>
        <w:spacing w:after="0" w:line="121"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We earn a portion of our operating income in Mexico. As of March 31, 2019, $2.8 million of our $9.2 million cash and cash equivalents balance was held in Mexico. These funds are available for repatriation as deemed necessary.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00" w:type="dxa"/>
            <w:vAlign w:val="bottom"/>
            <w:gridSpan w:val="5"/>
          </w:tcPr>
          <w:p>
            <w:pPr>
              <w:jc w:val="right"/>
              <w:ind w:right="2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Cash Flows from (in millions):</w:t>
            </w:r>
          </w:p>
        </w:tc>
        <w:tc>
          <w:tcPr>
            <w:tcW w:w="2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8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Operating Activities</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Investing Activities</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jc w:val="right"/>
              <w:ind w:right="17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4"/>
        </w:trPr>
        <w:tc>
          <w:tcPr>
            <w:tcW w:w="4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Financing Activities</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780" w:type="dxa"/>
            <w:vAlign w:val="bottom"/>
          </w:tcPr>
          <w:p>
            <w:pPr>
              <w:spacing w:after="0"/>
              <w:rPr>
                <w:sz w:val="24"/>
                <w:szCs w:val="24"/>
                <w:color w:val="auto"/>
              </w:rPr>
            </w:pPr>
          </w:p>
        </w:tc>
        <w:tc>
          <w:tcPr>
            <w:tcW w:w="23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The change in operating cash flow between periods was impacted by improvement in our overall financial results and a reduction in working capital requirements in the current year period as compared to an increase in working capital requirements in the prior year period. The period over period decrease in net working capital requirements totaled $16.4 million. The pension settlement impact during the period was a noncash charge, which had no impact on cash flow during the period. The decrease in our working capital requirements between periods was made up of the following working capital changes between periods (in millions):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 in Working Capital Requirements</w:t>
            </w: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39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8"/>
                <w:szCs w:val="18"/>
                <w:color w:val="auto"/>
              </w:rPr>
            </w:pP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4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1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68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8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The period over period change in the accounts receivable balances reflected an increase in our accounts receivable balances during both the current year period and the prior year period. The increase in accounts receivable balances during both periods reflected increased sales levels toward the end of each of our March period ends as compared to the end of the previous June periods. The period over period change in inventory reflected an increase in inventory balances during the prior year period, which was the result of ramping up for new customer program launches. The period over period change in other assets reflected a reduction in our other assets balances in the current year period and an increase in the other assets balances during the prior year period. The current year period reduction was the result of a reduction in customer tooling balances while the prior year increase was the result of increases in customer tooling balances. Customer tooling balances consisted of costs incurred for the development of tooling that will be directly reimbursed by our customer whose parts are produced from the tool. Changes in customer tooling balances during each period was the result of the timing of tooling development spending required to meet customer production requirements and related customer billing for cost reimbursement. The period over period change in accounts payable and accrued liability balances reflected a reduction in working capital requirements during each period. The reductions in working capital requirements were the result of increases in accounts payable balances each period, which resulted from the timing of purchases and payments with our vendors based on normal payment terms.</w:t>
      </w:r>
    </w:p>
    <w:p>
      <w:pPr>
        <w:spacing w:after="0" w:line="191"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Net cash used by investing activities of $13.7 million during the current year period and $19.2 million during the prior year period were the result of capital expenditures made in support of requirements for new product programs and the upgrade and replacement of existing equipment. Prior year period capital expenditures also included $1.4 million related to the completion of the construction of a new ADAC-STRATTEC facility and the purchase of related equipment, all in Leon, Mexico. Refer to discussion under ADAC-STRATTEC LLC Cash Requirements included herein.</w:t>
      </w:r>
    </w:p>
    <w:p>
      <w:pPr>
        <w:spacing w:after="0" w:line="180" w:lineRule="exact"/>
        <w:rPr>
          <w:sz w:val="20"/>
          <w:szCs w:val="20"/>
          <w:color w:val="auto"/>
        </w:rPr>
      </w:pPr>
    </w:p>
    <w:p>
      <w:pPr>
        <w:ind w:right="60" w:firstLine="571"/>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during the current year period of $9.7 million included repayments of borrowings under credit facilities of $9.0 million, $1.5 million of regular quarterly dividend payments to shareholders and $1.4 million of dividend payments to non-controlling interests in our subsidiaries, partially offset by $2 million in additional borrowings under credit facilities. Net cash provided by financing activities of $14.5 million during the prior year period included $21.0 million of additional borrowings under credit facilities, which was partially offset by repayments of borrowings under credit facilities of $3.0 million, $1.5 million of regular quarterly dividend payments to shareholders and $2.2 million of dividend payments to non-controlling interests in our subsidiaries.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VAST LLC Cash Requirements</w:t>
      </w:r>
    </w:p>
    <w:p>
      <w:pPr>
        <w:spacing w:after="0" w:line="121" w:lineRule="exact"/>
        <w:rPr>
          <w:sz w:val="20"/>
          <w:szCs w:val="20"/>
          <w:color w:val="auto"/>
        </w:rPr>
      </w:pPr>
    </w:p>
    <w:p>
      <w:pPr>
        <w:ind w:right="40" w:firstLine="571"/>
        <w:spacing w:after="0" w:line="254" w:lineRule="auto"/>
        <w:rPr>
          <w:sz w:val="20"/>
          <w:szCs w:val="20"/>
          <w:color w:val="auto"/>
        </w:rPr>
      </w:pPr>
      <w:r>
        <w:rPr>
          <w:rFonts w:ascii="Times New Roman" w:cs="Times New Roman" w:eastAsia="Times New Roman" w:hAnsi="Times New Roman"/>
          <w:sz w:val="18"/>
          <w:szCs w:val="18"/>
          <w:color w:val="auto"/>
        </w:rPr>
        <w:t>We currently anticipate that both VAST China and Minda-VAST Access Systems have adequate debt facilities in place over the next fiscal year to cover the future operating and capital requirements of each business. During the nine months ended March 31, 2019 and April 1, 2018, VAST LLC made capital contributions to Sistema de Acesso Veicular Ltda in Brazil totaling $975,000 and $871,000, respectively. During the nine months ended March 31, 2019, capital contributions totaling $600,000 were made to VAST LLC collectively by all VAST LLC partners. STRATTEC’s portion of these capital contributions totaled $200,000. During the nine months ended April 1, 2018, capital contributions totaling $375,000 were made to VAST LLC collectively by all VAST LLC partners. STRATTEC’s portion of these capital contributions totaled $125,000. The capital contributions to VAST LLC in both the current and prior year to date periods were made for the purpose of funding operations in Brazil. We anticipate the Brazilian entity will require capital contributions of approximately $450,000 collectively by all VAST partners to fund operations through calendar 2019. STRATTEC’s portion of the capital contributions is anticipated to be $150,000.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ADAC-STRATTEC LLC Cash Requirements</w:t>
      </w:r>
    </w:p>
    <w:p>
      <w:pPr>
        <w:spacing w:after="0" w:line="121"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ADAC-STRATTEC de Mexico (ASdM), a wholly owned subsidiary of ADAC-STRATTEC LLC, which is a joint venture between STRATTEC SECURITY CORPORATION and ADAC Automotive, began the construction of a new manufacturing facility in Leon, Mexico during our fiscal 2017 and completed the construction during our fiscal 2018. Accordingly, during our fiscal 2018 the paint system and assembly equipment located at the new facility became fully operational. Total capital expenditures required for the land, facility, paint system, and assembly equipment totaled approximately $22.5 million. In connection with this facility construction, the ADAC-STRATTEC Credit Facility was amended effective as of March 27, 2018 to increase the borrowing limit to $30 million until June 30, 2019, at which time the borrowing limit will return to $25 million. This facility is being used primarily to paint and assemble door handle products. As of fiscal 2018, the ADAC-STRATTEC LLC joint venture had annual net sales of approximately $89 million. With newly awarded customer business, we anticipate annual net sales will increase to approximately $115 million during our fiscal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STRATTEC Advanced Logic, LLC Cash Requirements</w:t>
      </w:r>
    </w:p>
    <w:p>
      <w:pPr>
        <w:spacing w:after="0" w:line="121" w:lineRule="exact"/>
        <w:rPr>
          <w:sz w:val="20"/>
          <w:szCs w:val="20"/>
          <w:color w:val="auto"/>
        </w:rPr>
      </w:pPr>
    </w:p>
    <w:p>
      <w:pPr>
        <w:ind w:right="200" w:firstLine="571"/>
        <w:spacing w:after="0" w:line="266" w:lineRule="auto"/>
        <w:rPr>
          <w:sz w:val="20"/>
          <w:szCs w:val="20"/>
          <w:color w:val="auto"/>
        </w:rPr>
      </w:pPr>
      <w:r>
        <w:rPr>
          <w:rFonts w:ascii="Times New Roman" w:cs="Times New Roman" w:eastAsia="Times New Roman" w:hAnsi="Times New Roman"/>
          <w:sz w:val="18"/>
          <w:szCs w:val="18"/>
          <w:color w:val="auto"/>
        </w:rPr>
        <w:t>During all periods presented in this report, STRATTEC provided 100 percent of the financial support to fund the start-up operating losses of SAL LLC through loans due to our joint venture partner’s inability to contribute capital to this joint venture. The business of SAL LLC has been wound down to sell only commercial biometric locks. We anticipate STRATTEC will provide minimal to no funding for SAL LLC in fiscal year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Expenditures</w:t>
      </w:r>
    </w:p>
    <w:p>
      <w:pPr>
        <w:spacing w:after="0" w:line="121"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We anticipate capital expenditures will be approximately $17.0 million in fiscal 2019 in support of requirements for new product programs and the upgrade and replacement of existing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Our Board of Directors has authorized a stock repurchase program to buy back outstanding shares of our common stock. Shares authorized for buy back under the program totaled 3,839,395 at March 31, 2019. A total of 3,655,322 shares have been repurchased over the life of the program through March 31, 2019, at a cost of approximately $136.4 million. No shares were repurchased during the nine month periods ended March 31, 2019 or April 1, 2018. Additional repurchases may occur from time to time and are expected to continue to be funded by cash flow from operations and current cash balances. Based on the current economic environment and our preference to conserve cash for other uses, we anticipate modest or no stock repurchase activity for the remainder of fiscal year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right="40" w:firstLine="571"/>
        <w:spacing w:after="0" w:line="268" w:lineRule="auto"/>
        <w:rPr>
          <w:sz w:val="20"/>
          <w:szCs w:val="20"/>
          <w:color w:val="auto"/>
        </w:rPr>
      </w:pPr>
      <w:r>
        <w:rPr>
          <w:rFonts w:ascii="Times New Roman" w:cs="Times New Roman" w:eastAsia="Times New Roman" w:hAnsi="Times New Roman"/>
          <w:sz w:val="17"/>
          <w:szCs w:val="17"/>
          <w:color w:val="auto"/>
        </w:rPr>
        <w:t>STRATTEC has a $40 million secured revolving credit facility (the “STRATTEC Credit Facility”) with BMO Harris Bank N.A. ADAC-STRATTEC LLC has a $30 million secured revolving credit facility (the “ADAC-STRATTEC Credit Facility”) with BMO Harris Bank N.A., which is guaranteed by STRATTEC. The credit facilities both expire August 1, 2021. The ADAC-STRATTEC Credit Facility borrowing limit decreases to $25 million effective July 1, 2019. Borrowings under either credit facility are secured by our U.S. cash balances, accounts receivable, inventory, and fixed assets located in the U.S. Interest on borrowings under the STRATTEC Credit Facility and interest on borrowings under the ADAC-STRATTEC Credit Facility prior to December 31, 2018 were at varying rates based, at our option, on the London Interbank Offering Rate (“LIBOR”) plus 1.0 percent or the bank’s prime rate. Effective December 31, 2018 and thereafter, interest on borrowings under the ADAC-STRATTEC Credit Facility is at varying rates based, at our option, on LIBOR plus 1.25 percent or the bank’s prime rate.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Outstanding borrowings under the STRATTEC Credit Facility totaled $19 million at March 31, 2019 and $23 million at July 1, 2018. The average outstanding borrowings and weighted average interest rate on the STRATTEC Credit Facility loans were approximately $22.2 million and 3.3 percent, respectively, during the nine months ended March 31, 2019. Outstanding borrowings under the ADAC-STRATTEC Credit Facility totaled $25 million at March 31, 2019 and $28.0 million at July 2, 2017. The average outstanding borrowings and weighted average interest rate on the ADAC-STRATTEC Credit Facility loans were approximately $26.3 million and 3.4 percent, respectively, during the nine months ended March 31, 2019.</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Inflation and Other Changes in Prices</w:t>
      </w:r>
    </w:p>
    <w:p>
      <w:pPr>
        <w:spacing w:after="0" w:line="121" w:lineRule="exact"/>
        <w:rPr>
          <w:sz w:val="20"/>
          <w:szCs w:val="20"/>
          <w:color w:val="auto"/>
        </w:rPr>
      </w:pPr>
    </w:p>
    <w:p>
      <w:pPr>
        <w:ind w:right="220" w:firstLine="571"/>
        <w:spacing w:after="0" w:line="274" w:lineRule="auto"/>
        <w:rPr>
          <w:sz w:val="20"/>
          <w:szCs w:val="20"/>
          <w:color w:val="auto"/>
        </w:rPr>
      </w:pPr>
      <w:r>
        <w:rPr>
          <w:rFonts w:ascii="Times New Roman" w:cs="Times New Roman" w:eastAsia="Times New Roman" w:hAnsi="Times New Roman"/>
          <w:sz w:val="17"/>
          <w:szCs w:val="17"/>
          <w:color w:val="auto"/>
        </w:rPr>
        <w:t>Inflation Related Items: Over the past several years, we have been impacted by rising health care costs, which have increased our cost of associate medical coverage. A portion of these increases have been offset by plan design changes and associate wellness initiatives. We have also been impacted by increases in the market price of zinc and brass and inflation in Mexico, which impacts the U. S. dollar costs of our Mexican operations. We have negotiated raw material price adjustment clauses with certain, but not all, of our customers to offset some of the market price fluctuations in the cost of zinc. We have contracts with Bank of Montreal that provide for bi-weekly and monthly Mexican peso currency forward contracts for a portion of our estimated peso denominated operating costs. Refer to discussion under Notes to Condensed Consolidated Financial Statements: Derivative Instruments included herein.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and Majority Owned Subsidiaries</w:t>
      </w:r>
    </w:p>
    <w:p>
      <w:pPr>
        <w:spacing w:after="0" w:line="121"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We participate in certain Alliance Agreements with WITTE Automotive (“WITTE”) and ADAC Automotive (“ADAC”). WITTE, of Velbert, Germany, is a privately held automotive supplier. WITTE designs, manufactures and markets automotive components, including locks and keys, hood latches, rear compartment latches, seat back latches, door handles and specialty fasteners. WITTE’s primary market for these products has been Europe. ADAC, of Grand Rapids, Michigan, is a privately held automotive supplier and manufactures engineered products, including door handles and other automotive trim parts, utilizing plastic injection molding, automated painting and various assembly processes.</w:t>
      </w:r>
    </w:p>
    <w:p>
      <w:pPr>
        <w:spacing w:after="0" w:line="184"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The Alliance Agreements include a set of cross-licensing agreements for the manufacture, distribution and sale of WITTE products by STRATTEC and ADAC in North America, and the manufacture, distribution and sale of STRATTEC and ADAC products by WITTE in Europe. Additionally, a joint venture company, Vehicle Access Systems Technology LLC (“VAST LLC”), in which WITTE, STRATTEC and ADAC each hold a one-third interest, exists to seek opportunities to manufacture and sell each company’s products in areas of the world outside of North America and Europe.</w:t>
      </w:r>
    </w:p>
    <w:p>
      <w:pPr>
        <w:spacing w:after="0" w:line="180"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VAST LLC has investments in Sistema de Acesso Veicular Ltda, VAST Fuzhou, VAST Great Shanghai, VAST Shanghai Co., VAST Jingzhou Co. Ltd., and Minda-VAST Access Systems. Sistema de Acesso Veicular Ltda is located in Brazil and services customers in South America. VAST Fuzhou, VAST Great Shanghai, VAST Shanghai Co., and VAST Jingzhou Co. Ltd. (collectively known as VAST China), provide a base of operations to service our automotive customers in the Asian market. Minda-VAST Access Systems is based in Pune, India and is a 50:50 joint venture with Minda Management Services Limited, an affiliate of both Minda Corporation Limited and Spark Minda, Ashok Minda Group of New Delhi, India (collectively “Minda”). Minda and its affiliates cater to the needs of all major car, motorcycle, commercial vehicle, tractor and off-road vehicle manufacturers in India. They are a leading manufacturer in the Indian marketplace of security &amp; access products, handles, automotive safety, restraint systems, driver information and telematics systems for both OEMs and the aftermarket. VAST LLC also maintains branch offices in South Korea and Japan in support of customer sales and engineering requirements.</w:t>
      </w:r>
    </w:p>
    <w:p>
      <w:pPr>
        <w:spacing w:after="0" w:line="189" w:lineRule="exact"/>
        <w:rPr>
          <w:sz w:val="20"/>
          <w:szCs w:val="20"/>
          <w:color w:val="auto"/>
        </w:rPr>
      </w:pPr>
    </w:p>
    <w:p>
      <w:pPr>
        <w:ind w:right="60" w:firstLine="571"/>
        <w:spacing w:after="0" w:line="256" w:lineRule="auto"/>
        <w:rPr>
          <w:sz w:val="20"/>
          <w:szCs w:val="20"/>
          <w:color w:val="auto"/>
        </w:rPr>
      </w:pPr>
      <w:r>
        <w:rPr>
          <w:rFonts w:ascii="Times New Roman" w:cs="Times New Roman" w:eastAsia="Times New Roman" w:hAnsi="Times New Roman"/>
          <w:sz w:val="18"/>
          <w:szCs w:val="18"/>
          <w:color w:val="auto"/>
        </w:rPr>
        <w:t>The VAST LLC investments are accounted for using the equity method of accounting. The activities related to the VAST LLC joint ventures resulted in equity earnings of joint ventures to STRATTEC of $2.4 million during the nine months ended March 31, 2019 and $3.1 million during the nine months ended April 1, 2018. During the nine months ended March 31, 2019, capital contributions totaling $600,000 were made to VAST LLC collectively by all VAST LLC partners. STRATTEC’s portion of these capital contributions totaled $200,000. During the nine months ended April 1, 2018, capital contributions totaling $375,000 were made to VAST LLC collectively by all VAST LLC partners. STRATTEC’s portion of these capital contributions totaled $125,000. The capital contributions to VAST LLC were made for the purpose of funding operations in Brazil.</w:t>
      </w:r>
    </w:p>
    <w:p>
      <w:pPr>
        <w:spacing w:after="0" w:line="188"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ADAC-STRATTEC LLC, a Delaware limited liability company, was formed in fiscal year 2007 to support injection molding and door handle assembly operations in Mexico. ADAC-STRATTEC LLC was 51 percent owned by STRATTEC and 49 percent owned by ADAC for all periods presented in this report. An additional Mexican entity, ADAC-STRATTEC de Mexico, is wholly owned by ADAC-STRATTEC LLC. ADAC-STRATTEC LLC’s financial results are consolidated with the financial results of STRATTEC and resulted in increased net income to STRATTEC of approximately $1.7 million during the nine months ended March 31, 2019 and approximately $1.6 million during the nine months ended April 1, 2018.</w:t>
      </w:r>
    </w:p>
    <w:p>
      <w:pPr>
        <w:spacing w:after="0" w:line="184" w:lineRule="exact"/>
        <w:rPr>
          <w:sz w:val="20"/>
          <w:szCs w:val="20"/>
          <w:color w:val="auto"/>
        </w:rPr>
      </w:pPr>
    </w:p>
    <w:p>
      <w:pPr>
        <w:ind w:right="140" w:firstLine="571"/>
        <w:spacing w:after="0" w:line="258" w:lineRule="auto"/>
        <w:rPr>
          <w:sz w:val="20"/>
          <w:szCs w:val="20"/>
          <w:color w:val="auto"/>
        </w:rPr>
      </w:pPr>
      <w:r>
        <w:rPr>
          <w:rFonts w:ascii="Times New Roman" w:cs="Times New Roman" w:eastAsia="Times New Roman" w:hAnsi="Times New Roman"/>
          <w:sz w:val="18"/>
          <w:szCs w:val="18"/>
          <w:color w:val="auto"/>
        </w:rPr>
        <w:t>STRATTEC POWER ACCESS LLC (“SPA”) was formed in fiscal year 2009 to supply the North American portion of the power sliding door, lift gate and deck lid system access control products which were acquired from Delphi Corporation. SPA was 80 percent owned by STRATTEC and 20 percent owned by WITTE for all periods presented in this report. The financial results of SPA are consolidated with the financial results of STRATTEC and resulted in increased net income to STRATTEC of approximately $2.8 million during the nine months ended March 31, 2019 and approximately $1.9 million during the nine months ended April 1, 2018.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0" w:name="page31"/>
    <w:bookmarkEnd w:id="30"/>
    <w:p>
      <w:pPr>
        <w:ind w:firstLine="571"/>
        <w:spacing w:after="0" w:line="254" w:lineRule="auto"/>
        <w:rPr>
          <w:sz w:val="20"/>
          <w:szCs w:val="20"/>
          <w:color w:val="auto"/>
        </w:rPr>
      </w:pPr>
      <w:r>
        <w:rPr>
          <w:rFonts w:ascii="Times New Roman" w:cs="Times New Roman" w:eastAsia="Times New Roman" w:hAnsi="Times New Roman"/>
          <w:sz w:val="18"/>
          <w:szCs w:val="18"/>
          <w:color w:val="auto"/>
        </w:rPr>
        <w:t>SAL LLC was formed in fiscal 2013 to introduce a new generation of biometric security products based upon the designs of Actuator Systems LLC, our partner and the owner of the remaining ownership interest. SAL LLC was 51 percent owned by STRATTEC for all periods presented in this report. Our investment in SAL LLC, for which we exercise significant influence but do not control and are not the primary beneficiary, is accounted for using the equity method. The activities related to SAL LLC resulted in equity earnings of joint ventures to STRATTEC of approximately $24,000 during the nine months ended March 31, 2019 and equity loss of joint ventures of approximately $24,000 during the nine months ended April 1, 2018. During all periods presented in this report, 100 percent of the funding for SAL LLC was being made through loans from STRATTEC to SAL LLC. Therefore, for all periods presented in this report, even though STRATTEC maintains a 51 percent ownership interest in SAL LLC, STRATTEC recognized 100 percent of the losses of SAL LLC up to our committed financial support through Equity Earnings (Loss) of Joint Ventures in the accompanying Condensed Consolidated Statements of Income (Loss) and Comprehensive Income. The business of SAL LLC has been wound down to sell only commercial biometric locks. See further discussion under Equity Earnings of Joint Ventures included in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jc w:val="center"/>
        <w:ind w:right="9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w:t>
      </w:r>
    </w:p>
    <w:p>
      <w:pPr>
        <w:spacing w:after="0" w:line="189" w:lineRule="exact"/>
        <w:rPr>
          <w:sz w:val="20"/>
          <w:szCs w:val="20"/>
          <w:color w:val="auto"/>
        </w:rPr>
      </w:pPr>
    </w:p>
    <w:p>
      <w:pPr>
        <w:ind w:right="80" w:firstLine="571"/>
        <w:spacing w:after="0" w:line="313"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color w:val="auto"/>
        </w:rPr>
        <w:t>Part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ind w:right="80" w:firstLine="571"/>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1A—Risk Factors</w:t>
      </w:r>
    </w:p>
    <w:p>
      <w:pPr>
        <w:spacing w:after="0" w:line="117" w:lineRule="exact"/>
        <w:rPr>
          <w:sz w:val="20"/>
          <w:szCs w:val="20"/>
          <w:color w:val="auto"/>
        </w:rPr>
      </w:pPr>
    </w:p>
    <w:p>
      <w:pPr>
        <w:ind w:right="600" w:firstLine="57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our Form 10-K as filed with the Securities and Exchange Commission on September 6, 2018.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on October 16, 1996, and the program was publicly announced on October 17, 1996. The Board of Directors has periodically increased the number of shares authorized for repurchase under the program, most recently in August 2008. The program currently authorizes the repurchase of up to 3,839,395 shares of our common stock from time to time, directly or through brokers or agents, and has no expiration date. Over the life of the repurchase program through March 31, 2019, a total of 3,655,322 shares have been repurchased at a cost of approximately $136.4 million. No shares were repurchased during the nine month period ended March 31, 2019.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Securities—None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Disclosures—None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Information—None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pacing w:after="0" w:line="212"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35">
        <w:r>
          <w:rPr>
            <w:rFonts w:ascii="Times New Roman" w:cs="Times New Roman" w:eastAsia="Times New Roman" w:hAnsi="Times New Roman"/>
            <w:sz w:val="17"/>
            <w:szCs w:val="17"/>
            <w:u w:val="single" w:color="auto"/>
            <w:color w:val="0000EE"/>
          </w:rPr>
          <w:t>Rule 13a-14(a) Certification for Frank J. Krejci, President and Chief Executive Officer</w:t>
        </w:r>
      </w:hyperlink>
    </w:p>
    <w:p>
      <w:pPr>
        <w:spacing w:after="0" w:line="131"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36">
        <w:r>
          <w:rPr>
            <w:rFonts w:ascii="Times New Roman" w:cs="Times New Roman" w:eastAsia="Times New Roman" w:hAnsi="Times New Roman"/>
            <w:sz w:val="17"/>
            <w:szCs w:val="17"/>
            <w:u w:val="single" w:color="auto"/>
            <w:color w:val="0000EE"/>
          </w:rPr>
          <w:t>Rule 13a-14(a) Certification for Patrick J. Hansen, Chief Financial Officer</w:t>
        </w:r>
      </w:hyperlink>
    </w:p>
    <w:p>
      <w:pPr>
        <w:spacing w:after="0" w:line="131"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5"/>
          <w:szCs w:val="15"/>
          <w:color w:val="auto"/>
        </w:rPr>
        <w:t>(1)</w:t>
      </w:r>
      <w:r>
        <w:rPr>
          <w:sz w:val="20"/>
          <w:szCs w:val="20"/>
          <w:color w:val="auto"/>
        </w:rPr>
        <w:tab/>
      </w:r>
      <w:hyperlink w:anchor="page37">
        <w:r>
          <w:rPr>
            <w:rFonts w:ascii="Times New Roman" w:cs="Times New Roman" w:eastAsia="Times New Roman" w:hAnsi="Times New Roman"/>
            <w:sz w:val="17"/>
            <w:szCs w:val="17"/>
            <w:u w:val="single" w:color="auto"/>
            <w:color w:val="0000EE"/>
          </w:rPr>
          <w:t>18 U.S.C. Section 1350 Certifications</w:t>
        </w:r>
      </w:hyperlink>
    </w:p>
    <w:p>
      <w:pPr>
        <w:spacing w:after="0" w:line="131" w:lineRule="exact"/>
        <w:rPr>
          <w:sz w:val="20"/>
          <w:szCs w:val="20"/>
          <w:color w:val="auto"/>
        </w:rPr>
      </w:pPr>
    </w:p>
    <w:p>
      <w:pPr>
        <w:ind w:left="700" w:hanging="692"/>
        <w:spacing w:after="0" w:line="258"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STRATTEC SECURITY CORPORATION's Quarterly Report on Form 10-Q for the fiscal quarter ended March 31, 2019 formatted in XBRL (eXtensible Business Reporting Language) and furnished electronically herewith: (i) Condensed Consolidated Statements of Income (Loss) and Comprehensive Income; (ii) Condensed Consolidated Balance Sheets; (iii) Condensed Consolidated Statements of Cash Flows; and (iv) Notes to Condensed Consolidated Financial Statements. XBRL Instance Document – the XBRL Instance Document does not appear in the Interactive Data File because its XBRL tags are embedded within the Inline XBRL document.</w:t>
      </w:r>
    </w:p>
    <w:p>
      <w:pPr>
        <w:spacing w:after="0" w:line="103" w:lineRule="exact"/>
        <w:rPr>
          <w:sz w:val="20"/>
          <w:szCs w:val="20"/>
          <w:color w:val="auto"/>
        </w:rPr>
      </w:pPr>
    </w:p>
    <w:p>
      <w:pPr>
        <w:ind w:left="520" w:right="140" w:hanging="512"/>
        <w:spacing w:after="0" w:line="282" w:lineRule="auto"/>
        <w:tabs>
          <w:tab w:leader="none" w:pos="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60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firstLine="57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STRATTEC SECURITY CORPORATION (Registrant)</w:t>
            </w: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792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By:  /s/ Patrick J. Hansen</w:t>
            </w:r>
          </w:p>
        </w:tc>
      </w:tr>
      <w:tr>
        <w:trPr>
          <w:trHeight w:val="191"/>
        </w:trPr>
        <w:tc>
          <w:tcPr>
            <w:tcW w:w="3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Patrick J. Hansen</w:t>
            </w:r>
          </w:p>
        </w:tc>
      </w:tr>
      <w:tr>
        <w:trPr>
          <w:trHeight w:val="216"/>
        </w:trPr>
        <w:tc>
          <w:tcPr>
            <w:tcW w:w="3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234"/>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864"/>
        </w:trPr>
        <w:tc>
          <w:tcPr>
            <w:tcW w:w="3500" w:type="dxa"/>
            <w:vAlign w:val="bottom"/>
          </w:tcPr>
          <w:p>
            <w:pPr>
              <w:spacing w:after="0"/>
              <w:rPr>
                <w:sz w:val="24"/>
                <w:szCs w:val="24"/>
                <w:color w:val="auto"/>
              </w:rPr>
            </w:pPr>
          </w:p>
        </w:tc>
        <w:tc>
          <w:tcPr>
            <w:tcW w:w="37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34</w:t>
            </w:r>
          </w:p>
        </w:tc>
        <w:tc>
          <w:tcPr>
            <w:tcW w:w="422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4" w:name="page35"/>
    <w:bookmarkEnd w:id="34"/>
    <w:p>
      <w:pPr>
        <w:ind w:left="9940"/>
        <w:spacing w:after="0"/>
        <w:rPr>
          <w:sz w:val="20"/>
          <w:szCs w:val="20"/>
          <w:color w:val="auto"/>
        </w:rPr>
      </w:pPr>
      <w:r>
        <w:rPr>
          <w:rFonts w:ascii="Times New Roman" w:cs="Times New Roman" w:eastAsia="Times New Roman" w:hAnsi="Times New Roman"/>
          <w:sz w:val="20"/>
          <w:szCs w:val="20"/>
          <w:color w:val="auto"/>
        </w:rPr>
        <w:t>Exhibit 31.1</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ind w:right="-139"/>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Frank J. Krejci, certify that:</w:t>
      </w:r>
    </w:p>
    <w:p>
      <w:pPr>
        <w:spacing w:after="0" w:line="148" w:lineRule="exact"/>
        <w:rPr>
          <w:sz w:val="20"/>
          <w:szCs w:val="20"/>
          <w:color w:val="auto"/>
        </w:rPr>
      </w:pPr>
    </w:p>
    <w:p>
      <w:pPr>
        <w:ind w:left="1560" w:hanging="791"/>
        <w:spacing w:after="0"/>
        <w:tabs>
          <w:tab w:leader="none" w:pos="15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148" w:lineRule="exact"/>
        <w:rPr>
          <w:rFonts w:ascii="Times New Roman" w:cs="Times New Roman" w:eastAsia="Times New Roman" w:hAnsi="Times New Roman"/>
          <w:sz w:val="20"/>
          <w:szCs w:val="20"/>
          <w:color w:val="auto"/>
        </w:rPr>
      </w:pPr>
    </w:p>
    <w:p>
      <w:pPr>
        <w:ind w:right="20" w:firstLine="769"/>
        <w:spacing w:after="0" w:line="254" w:lineRule="auto"/>
        <w:tabs>
          <w:tab w:leader="none" w:pos="155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20"/>
          <w:szCs w:val="20"/>
          <w:color w:val="auto"/>
        </w:rPr>
      </w:pPr>
    </w:p>
    <w:p>
      <w:pPr>
        <w:ind w:right="100" w:firstLine="769"/>
        <w:spacing w:after="0" w:line="254" w:lineRule="auto"/>
        <w:tabs>
          <w:tab w:leader="none" w:pos="155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20"/>
          <w:szCs w:val="20"/>
          <w:color w:val="auto"/>
        </w:rPr>
      </w:pPr>
    </w:p>
    <w:p>
      <w:pPr>
        <w:ind w:right="100" w:firstLine="769"/>
        <w:spacing w:after="0" w:line="254" w:lineRule="auto"/>
        <w:tabs>
          <w:tab w:leader="none" w:pos="155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ind w:firstLine="769"/>
        <w:spacing w:after="0" w:line="254" w:lineRule="auto"/>
        <w:tabs>
          <w:tab w:leader="none" w:pos="162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20"/>
          <w:szCs w:val="20"/>
          <w:color w:val="auto"/>
        </w:rPr>
      </w:pPr>
    </w:p>
    <w:p>
      <w:pPr>
        <w:ind w:firstLine="769"/>
        <w:spacing w:after="0" w:line="254" w:lineRule="auto"/>
        <w:tabs>
          <w:tab w:leader="none" w:pos="1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Times New Roman" w:cs="Times New Roman" w:eastAsia="Times New Roman" w:hAnsi="Times New Roman"/>
          <w:sz w:val="20"/>
          <w:szCs w:val="20"/>
          <w:color w:val="auto"/>
        </w:rPr>
      </w:pPr>
    </w:p>
    <w:p>
      <w:pPr>
        <w:ind w:right="100" w:firstLine="769"/>
        <w:spacing w:after="0" w:line="254" w:lineRule="auto"/>
        <w:tabs>
          <w:tab w:leader="none" w:pos="162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20"/>
          <w:szCs w:val="20"/>
          <w:color w:val="auto"/>
        </w:rPr>
      </w:pPr>
    </w:p>
    <w:p>
      <w:pPr>
        <w:jc w:val="both"/>
        <w:ind w:right="320" w:firstLine="769"/>
        <w:spacing w:after="0" w:line="254" w:lineRule="auto"/>
        <w:tabs>
          <w:tab w:leader="none" w:pos="1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sz w:val="20"/>
          <w:szCs w:val="20"/>
          <w:color w:val="auto"/>
        </w:rPr>
      </w:pPr>
    </w:p>
    <w:p>
      <w:pPr>
        <w:ind w:right="100" w:firstLine="769"/>
        <w:spacing w:after="0" w:line="254" w:lineRule="auto"/>
        <w:tabs>
          <w:tab w:leader="none" w:pos="155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sz w:val="20"/>
          <w:szCs w:val="20"/>
          <w:color w:val="auto"/>
        </w:rPr>
      </w:pPr>
    </w:p>
    <w:p>
      <w:pPr>
        <w:ind w:right="120" w:firstLine="769"/>
        <w:spacing w:after="0" w:line="296" w:lineRule="auto"/>
        <w:tabs>
          <w:tab w:leader="none" w:pos="162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9"/>
          <w:szCs w:val="19"/>
          <w:color w:val="auto"/>
        </w:rPr>
      </w:pPr>
    </w:p>
    <w:p>
      <w:pPr>
        <w:ind w:right="520" w:firstLine="769"/>
        <w:spacing w:after="0" w:line="269" w:lineRule="auto"/>
        <w:tabs>
          <w:tab w:leader="none" w:pos="1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 May 7, 2019</w:t>
      </w:r>
    </w:p>
    <w:p>
      <w:pPr>
        <w:spacing w:after="0" w:line="2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u w:val="single" w:color="auto"/>
          <w:color w:val="auto"/>
        </w:rPr>
        <w:t>/s/ Frank J.</w:t>
      </w:r>
    </w:p>
    <w:p>
      <w:pPr>
        <w:ind w:left="5340"/>
        <w:spacing w:after="0"/>
        <w:rPr>
          <w:sz w:val="20"/>
          <w:szCs w:val="20"/>
          <w:color w:val="auto"/>
        </w:rPr>
      </w:pPr>
      <w:r>
        <w:rPr>
          <w:rFonts w:ascii="Times New Roman" w:cs="Times New Roman" w:eastAsia="Times New Roman" w:hAnsi="Times New Roman"/>
          <w:sz w:val="20"/>
          <w:szCs w:val="20"/>
          <w:u w:val="single" w:color="auto"/>
          <w:color w:val="auto"/>
        </w:rPr>
        <w:t>Krejci</w:t>
      </w:r>
    </w:p>
    <w:p>
      <w:pPr>
        <w:ind w:left="5340"/>
        <w:spacing w:after="0"/>
        <w:rPr>
          <w:sz w:val="20"/>
          <w:szCs w:val="20"/>
          <w:color w:val="auto"/>
        </w:rPr>
      </w:pPr>
      <w:r>
        <w:rPr>
          <w:rFonts w:ascii="Times New Roman" w:cs="Times New Roman" w:eastAsia="Times New Roman" w:hAnsi="Times New Roman"/>
          <w:sz w:val="20"/>
          <w:szCs w:val="20"/>
          <w:color w:val="auto"/>
        </w:rPr>
        <w:t>Frank J. Krejci,</w:t>
      </w:r>
    </w:p>
    <w:p>
      <w:pPr>
        <w:ind w:left="534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300"/>
          </w:cols>
          <w:pgMar w:left="240" w:top="118" w:right="359" w:bottom="1440" w:gutter="0" w:footer="0" w:header="0"/>
        </w:sectPr>
      </w:pPr>
    </w:p>
    <w:bookmarkStart w:id="35" w:name="page36"/>
    <w:bookmarkEnd w:id="35"/>
    <w:p>
      <w:pPr>
        <w:ind w:left="9420"/>
        <w:spacing w:after="0"/>
        <w:rPr>
          <w:sz w:val="20"/>
          <w:szCs w:val="20"/>
          <w:color w:val="auto"/>
        </w:rPr>
      </w:pPr>
      <w:r>
        <w:rPr>
          <w:rFonts w:ascii="Times New Roman" w:cs="Times New Roman" w:eastAsia="Times New Roman" w:hAnsi="Times New Roman"/>
          <w:sz w:val="20"/>
          <w:szCs w:val="20"/>
          <w:color w:val="auto"/>
        </w:rPr>
        <w:t>Exhibit 31.2</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ind w:right="-139"/>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Patrick J. Hansen, certify that:</w:t>
      </w:r>
    </w:p>
    <w:p>
      <w:pPr>
        <w:spacing w:after="0" w:line="148" w:lineRule="exact"/>
        <w:rPr>
          <w:sz w:val="20"/>
          <w:szCs w:val="20"/>
          <w:color w:val="auto"/>
        </w:rPr>
      </w:pPr>
    </w:p>
    <w:p>
      <w:pPr>
        <w:ind w:left="1560" w:hanging="791"/>
        <w:spacing w:after="0"/>
        <w:tabs>
          <w:tab w:leader="none" w:pos="1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148" w:lineRule="exact"/>
        <w:rPr>
          <w:rFonts w:ascii="Times New Roman" w:cs="Times New Roman" w:eastAsia="Times New Roman" w:hAnsi="Times New Roman"/>
          <w:sz w:val="20"/>
          <w:szCs w:val="20"/>
          <w:color w:val="auto"/>
        </w:rPr>
      </w:pPr>
    </w:p>
    <w:p>
      <w:pPr>
        <w:ind w:right="20" w:firstLine="769"/>
        <w:spacing w:after="0" w:line="254" w:lineRule="auto"/>
        <w:tabs>
          <w:tab w:leader="none" w:pos="15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20"/>
          <w:szCs w:val="20"/>
          <w:color w:val="auto"/>
        </w:rPr>
      </w:pPr>
    </w:p>
    <w:p>
      <w:pPr>
        <w:ind w:right="100" w:firstLine="769"/>
        <w:spacing w:after="0" w:line="254" w:lineRule="auto"/>
        <w:tabs>
          <w:tab w:leader="none" w:pos="15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20"/>
          <w:szCs w:val="20"/>
          <w:color w:val="auto"/>
        </w:rPr>
      </w:pPr>
    </w:p>
    <w:p>
      <w:pPr>
        <w:ind w:right="100" w:firstLine="769"/>
        <w:spacing w:after="0" w:line="254" w:lineRule="auto"/>
        <w:tabs>
          <w:tab w:leader="none" w:pos="15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sz w:val="20"/>
          <w:szCs w:val="20"/>
          <w:color w:val="auto"/>
        </w:rPr>
      </w:pPr>
    </w:p>
    <w:p>
      <w:pPr>
        <w:ind w:firstLine="769"/>
        <w:spacing w:after="0" w:line="254" w:lineRule="auto"/>
        <w:tabs>
          <w:tab w:leader="none" w:pos="162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20"/>
          <w:szCs w:val="20"/>
          <w:color w:val="auto"/>
        </w:rPr>
      </w:pPr>
    </w:p>
    <w:p>
      <w:pPr>
        <w:ind w:firstLine="769"/>
        <w:spacing w:after="0" w:line="254" w:lineRule="auto"/>
        <w:tabs>
          <w:tab w:leader="none" w:pos="1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Times New Roman" w:cs="Times New Roman" w:eastAsia="Times New Roman" w:hAnsi="Times New Roman"/>
          <w:sz w:val="20"/>
          <w:szCs w:val="20"/>
          <w:color w:val="auto"/>
        </w:rPr>
      </w:pPr>
    </w:p>
    <w:p>
      <w:pPr>
        <w:ind w:right="100" w:firstLine="769"/>
        <w:spacing w:after="0" w:line="254" w:lineRule="auto"/>
        <w:tabs>
          <w:tab w:leader="none" w:pos="162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20"/>
          <w:szCs w:val="20"/>
          <w:color w:val="auto"/>
        </w:rPr>
      </w:pPr>
    </w:p>
    <w:p>
      <w:pPr>
        <w:jc w:val="both"/>
        <w:ind w:right="320" w:firstLine="769"/>
        <w:spacing w:after="0" w:line="254" w:lineRule="auto"/>
        <w:tabs>
          <w:tab w:leader="none" w:pos="1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sz w:val="20"/>
          <w:szCs w:val="20"/>
          <w:color w:val="auto"/>
        </w:rPr>
      </w:pPr>
    </w:p>
    <w:p>
      <w:pPr>
        <w:ind w:right="100" w:firstLine="769"/>
        <w:spacing w:after="0" w:line="254" w:lineRule="auto"/>
        <w:tabs>
          <w:tab w:leader="none" w:pos="155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sz w:val="20"/>
          <w:szCs w:val="20"/>
          <w:color w:val="auto"/>
        </w:rPr>
      </w:pPr>
    </w:p>
    <w:p>
      <w:pPr>
        <w:ind w:right="120" w:firstLine="769"/>
        <w:spacing w:after="0" w:line="296" w:lineRule="auto"/>
        <w:tabs>
          <w:tab w:leader="none" w:pos="162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9"/>
          <w:szCs w:val="19"/>
          <w:color w:val="auto"/>
        </w:rPr>
      </w:pPr>
    </w:p>
    <w:p>
      <w:pPr>
        <w:ind w:right="520" w:firstLine="769"/>
        <w:spacing w:after="0" w:line="269" w:lineRule="auto"/>
        <w:tabs>
          <w:tab w:leader="none" w:pos="1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 May 7, 2019</w:t>
      </w:r>
    </w:p>
    <w:p>
      <w:pPr>
        <w:spacing w:after="0" w:line="2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u w:val="single" w:color="auto"/>
          <w:color w:val="auto"/>
        </w:rPr>
        <w:t>/s/ Patrick J.</w:t>
      </w:r>
    </w:p>
    <w:p>
      <w:pPr>
        <w:ind w:left="5340"/>
        <w:spacing w:after="0"/>
        <w:rPr>
          <w:sz w:val="20"/>
          <w:szCs w:val="20"/>
          <w:color w:val="auto"/>
        </w:rPr>
      </w:pPr>
      <w:r>
        <w:rPr>
          <w:rFonts w:ascii="Times New Roman" w:cs="Times New Roman" w:eastAsia="Times New Roman" w:hAnsi="Times New Roman"/>
          <w:sz w:val="20"/>
          <w:szCs w:val="20"/>
          <w:u w:val="single" w:color="auto"/>
          <w:color w:val="auto"/>
        </w:rPr>
        <w:t>Hansen</w:t>
      </w:r>
    </w:p>
    <w:p>
      <w:pPr>
        <w:ind w:left="5340"/>
        <w:spacing w:after="0"/>
        <w:rPr>
          <w:sz w:val="20"/>
          <w:szCs w:val="20"/>
          <w:color w:val="auto"/>
        </w:rPr>
      </w:pPr>
      <w:r>
        <w:rPr>
          <w:rFonts w:ascii="Times New Roman" w:cs="Times New Roman" w:eastAsia="Times New Roman" w:hAnsi="Times New Roman"/>
          <w:sz w:val="20"/>
          <w:szCs w:val="20"/>
          <w:color w:val="auto"/>
        </w:rPr>
        <w:t>Patrick J. Hansen,</w:t>
      </w:r>
    </w:p>
    <w:p>
      <w:pPr>
        <w:ind w:left="53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300"/>
          </w:cols>
          <w:pgMar w:left="240" w:top="118" w:right="359" w:bottom="1440" w:gutter="0" w:footer="0" w:header="0"/>
        </w:sectPr>
      </w:pPr>
    </w:p>
    <w:bookmarkStart w:id="36" w:name="page37"/>
    <w:bookmarkEnd w:id="36"/>
    <w:p>
      <w:pPr>
        <w:ind w:left="9020"/>
        <w:spacing w:after="0"/>
        <w:rPr>
          <w:sz w:val="20"/>
          <w:szCs w:val="20"/>
          <w:color w:val="auto"/>
        </w:rPr>
      </w:pPr>
      <w:r>
        <w:rPr>
          <w:rFonts w:ascii="Times New Roman" w:cs="Times New Roman" w:eastAsia="Times New Roman" w:hAnsi="Times New Roman"/>
          <w:sz w:val="20"/>
          <w:szCs w:val="20"/>
          <w:color w:val="auto"/>
        </w:rPr>
        <w:t>Exhibit 32</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100" w:firstLine="827"/>
        <w:spacing w:after="0" w:line="247"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March 31, 2019 fully complies with the requirements of Section 13(a) of the Securities Exchange Act of 1934 and information contained in that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Dated: May 7, 2019</w:t>
            </w:r>
          </w:p>
        </w:tc>
        <w:tc>
          <w:tcPr>
            <w:tcW w:w="206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Frank J. Krejci</w:t>
            </w:r>
          </w:p>
        </w:tc>
      </w:tr>
      <w:tr>
        <w:trPr>
          <w:trHeight w:val="227"/>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20" w:type="dxa"/>
            <w:vAlign w:val="bottom"/>
            <w:tcBorders>
              <w:top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Frank J. Krejci,</w:t>
            </w:r>
          </w:p>
        </w:tc>
        <w:tc>
          <w:tcPr>
            <w:tcW w:w="500" w:type="dxa"/>
            <w:vAlign w:val="bottom"/>
            <w:gridSpan w:val="2"/>
          </w:tcPr>
          <w:p>
            <w:pPr>
              <w:spacing w:after="0"/>
              <w:rPr>
                <w:sz w:val="19"/>
                <w:szCs w:val="19"/>
                <w:color w:val="auto"/>
              </w:rPr>
            </w:pPr>
          </w:p>
        </w:tc>
      </w:tr>
      <w:tr>
        <w:trPr>
          <w:trHeight w:val="258"/>
        </w:trPr>
        <w:tc>
          <w:tcPr>
            <w:tcW w:w="37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872"/>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Dated: May 7, 2019</w:t>
            </w:r>
          </w:p>
        </w:tc>
        <w:tc>
          <w:tcPr>
            <w:tcW w:w="206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Patrick J. Hansen</w:t>
            </w:r>
          </w:p>
        </w:tc>
      </w:tr>
      <w:tr>
        <w:trPr>
          <w:trHeight w:val="227"/>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20" w:type="dxa"/>
            <w:vAlign w:val="bottom"/>
            <w:tcBorders>
              <w:top w:val="single" w:sz="8" w:color="auto"/>
            </w:tcBorders>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Patrick J. Hansen,</w:t>
            </w:r>
          </w:p>
        </w:tc>
        <w:tc>
          <w:tcPr>
            <w:tcW w:w="300" w:type="dxa"/>
            <w:vAlign w:val="bottom"/>
          </w:tcPr>
          <w:p>
            <w:pPr>
              <w:spacing w:after="0"/>
              <w:rPr>
                <w:sz w:val="19"/>
                <w:szCs w:val="19"/>
                <w:color w:val="auto"/>
              </w:rPr>
            </w:pPr>
          </w:p>
        </w:tc>
      </w:tr>
      <w:tr>
        <w:trPr>
          <w:trHeight w:val="258"/>
        </w:trPr>
        <w:tc>
          <w:tcPr>
            <w:tcW w:w="37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30" w:lineRule="exact"/>
        <w:rPr>
          <w:sz w:val="20"/>
          <w:szCs w:val="20"/>
          <w:color w:val="auto"/>
        </w:rPr>
      </w:pPr>
    </w:p>
    <w:p>
      <w:pPr>
        <w:ind w:firstLine="827"/>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decimal"/>
      <w:start w:val="10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2019-12-28T12:57:26Z</dcterms:created>
  <dcterms:modified xsi:type="dcterms:W3CDTF">2019-12-28T12:57:26Z</dcterms:modified>
</cp:coreProperties>
</file>